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Deep Learning for Vessel Segmentation in Cerebral CTA</w:t>
      </w:r>
    </w:p>
    <w:p>
      <w:pPr>
        <w:spacing w:after="200"/>
        <w:jc w:val="center"/>
      </w:pPr>
      <w:r>
        <w:rPr>
          <w:rFonts w:ascii="Times New Roman" w:cs="Times New Roman" w:eastAsia="Times New Roman" w:hAnsi="Times New Roman"/>
          <w:i/>
          <w:iCs/>
          <w:sz w:val="22"/>
          <w:szCs w:val="22"/>
        </w:rPr>
        <w:t xml:space="preserve">Midterm Project Proposal</w:t>
      </w:r>
    </w:p>
    <w:p>
      <w:pPr>
        <w:spacing w:after="100" w:before="60"/>
        <w:jc w:val="center"/>
      </w:pPr>
      <w:r>
        <w:rPr>
          <w:rFonts w:ascii="Times New Roman" w:cs="Times New Roman" w:eastAsia="Times New Roman" w:hAnsi="Times New Roman"/>
          <w:b/>
          <w:bCs/>
          <w:sz w:val="24"/>
          <w:szCs w:val="24"/>
        </w:rPr>
        <w:t xml:space="preserve">Abstract</w:t>
      </w:r>
    </w:p>
    <w:p>
      <w:pPr>
        <w:spacing w:after="120"/>
        <w:jc w:val="both"/>
      </w:pPr>
      <w:r>
        <w:rPr>
          <w:rFonts w:ascii="Times New Roman" w:cs="Times New Roman" w:eastAsia="Times New Roman" w:hAnsi="Times New Roman"/>
          <w:sz w:val="20"/>
          <w:szCs w:val="20"/>
        </w:rPr>
        <w:t xml:space="preserve">Accurate segmentation of cerebral vasculature from computed tomography angiography (CTA) is essential for the diagnosis and treatment planning of stroke, intracranial aneurysms, and other cerebrovascular diseases. Despite significant advances in deep learning for medical image segmentation, cerebral vessel segmentation from CTA remains challenging due to extreme class imbalance (vessels occupy less than 3% of brain volume), thin distal branches that vanish through pooling layers, bone-proximity artifacts at the skull base, and high anatomical variability in structures such as the Circle of Willis. Traditional convolutional architectures trained with standard overlap losses (e.g., Dice, cross-entropy) often achieve high volumetric accuracy while producing topologically broken segmentations with severed vessel connectivity, limiting their clinical utility.</w:t>
      </w:r>
    </w:p>
    <w:p>
      <w:pPr>
        <w:spacing w:after="120"/>
        <w:jc w:val="both"/>
      </w:pPr>
      <w:r>
        <w:rPr>
          <w:rFonts w:ascii="Times New Roman" w:cs="Times New Roman" w:eastAsia="Times New Roman" w:hAnsi="Times New Roman"/>
          <w:sz w:val="20"/>
          <w:szCs w:val="20"/>
        </w:rPr>
        <w:t xml:space="preserve">This project proposes training a 3D U-Net from scratch in PyTorch on the TopCoW 2024 CTA dataset, a publicly available benchmark comprising 125 expert-annotated volumes with voxel-level labels for 13 Circle of Willis components. The central experimental question is whether topology-aware loss functions can improve vascular connectivity without sacrificing volumetric overlap. We plan to compare a baseline model trained with combined Dice and cross-entropy loss against variants incorporating topology-preserving objectives, specifically the centerline Dice (clDice) loss and the recently proposed Skeleton Recall loss. The clDice loss computes overlap on morphological skeletons of the predicted and ground-truth masks, providing a differentiable proxy for topological correctness. Skeleton Recall loss achieves similar connectivity preservation with over 90% lower computational overhead by leveraging CPU-based skeletonization, making it practical for 3D volumetric training.</w:t>
      </w:r>
    </w:p>
    <w:p>
      <w:pPr>
        <w:spacing w:after="120"/>
        <w:jc w:val="both"/>
      </w:pPr>
      <w:r>
        <w:rPr>
          <w:rFonts w:ascii="Times New Roman" w:cs="Times New Roman" w:eastAsia="Times New Roman" w:hAnsi="Times New Roman"/>
          <w:sz w:val="20"/>
          <w:szCs w:val="20"/>
        </w:rPr>
        <w:t xml:space="preserve">Models will be evaluated using a multi-metric protocol that captures both geometric and topological performance: Dice similarity coefficient (DSC) for volumetric overlap, clDice for centerline agreement, 95th-percentile Hausdorff distance (HD95) for boundary accuracy, and Betti number errors (β₀) for connectivity. Training will employ patch-based sampling with foreground oversampling, deep supervision at intermediate decoder stages, and standard spatial and intensity augmentations. We hypothesize that the topology-aware loss variants will yield statistically significant improvements on clDice and Betti error metrics while maintaining competitive DSC, demonstrating that topological supervision is a necessary complement to overlap-based objectives for clinically meaningful vessel segmentation.</w:t>
      </w:r>
    </w:p>
    <w:p>
      <w:pPr>
        <w:spacing w:after="80" w:before="160"/>
        <w:jc w:val="center"/>
      </w:pPr>
      <w:r>
        <w:rPr>
          <w:rFonts w:ascii="Times New Roman" w:cs="Times New Roman" w:eastAsia="Times New Roman" w:hAnsi="Times New Roman"/>
          <w:b/>
          <w:bCs/>
          <w:sz w:val="24"/>
          <w:szCs w:val="24"/>
        </w:rPr>
        <w:t xml:space="preserve">References</w:t>
      </w:r>
    </w:p>
    <w:p>
      <w:pPr>
        <w:spacing w:after="20"/>
        <w:ind w:left="360" w:hanging="360"/>
      </w:pPr>
      <w:r>
        <w:rPr>
          <w:rFonts w:ascii="Times New Roman" w:cs="Times New Roman" w:eastAsia="Times New Roman" w:hAnsi="Times New Roman"/>
          <w:sz w:val="16"/>
          <w:szCs w:val="16"/>
        </w:rPr>
        <w:t xml:space="preserve">[1] F. Isensee et al., “nnU-Net: A Self-Configuring Method for Deep Learning-Based Biomedical Image Segmentation,” Nature Methods, vol. 18, pp. 203–211, 2021.</w:t>
      </w:r>
    </w:p>
    <w:p>
      <w:pPr>
        <w:spacing w:after="20"/>
        <w:ind w:left="360" w:hanging="360"/>
      </w:pPr>
      <w:r>
        <w:rPr>
          <w:rFonts w:ascii="Times New Roman" w:cs="Times New Roman" w:eastAsia="Times New Roman" w:hAnsi="Times New Roman"/>
          <w:sz w:val="16"/>
          <w:szCs w:val="16"/>
        </w:rPr>
        <w:t xml:space="preserve">[2] K. Yang et al., “Benchmarking the CoW with the TopCoW Challenge: Topology-Aware Anatomical Segmentation of the Circle of Willis for CTA and MRA,” arXiv:2312.17670, 2023.</w:t>
      </w:r>
    </w:p>
    <w:p>
      <w:pPr>
        <w:spacing w:after="20"/>
        <w:ind w:left="360" w:hanging="360"/>
      </w:pPr>
      <w:r>
        <w:rPr>
          <w:rFonts w:ascii="Times New Roman" w:cs="Times New Roman" w:eastAsia="Times New Roman" w:hAnsi="Times New Roman"/>
          <w:sz w:val="16"/>
          <w:szCs w:val="16"/>
        </w:rPr>
        <w:t xml:space="preserve">[3] S. Shit et al., “clDice — A Novel Topology-Preserving Loss Function for Tubular Structure Segmentation,” in Proc. IEEE/CVF CVPR, pp. 16560–16569, 2021.</w:t>
      </w:r>
    </w:p>
    <w:p>
      <w:pPr>
        <w:spacing w:after="20"/>
        <w:ind w:left="360" w:hanging="360"/>
      </w:pPr>
      <w:r>
        <w:rPr>
          <w:rFonts w:ascii="Times New Roman" w:cs="Times New Roman" w:eastAsia="Times New Roman" w:hAnsi="Times New Roman"/>
          <w:sz w:val="16"/>
          <w:szCs w:val="16"/>
        </w:rPr>
        <w:t xml:space="preserve">[4] F. Isensee et al., “nnU-Net Revisited: A Call for Rigorous Validation in 3D Medical Image Segmentation,” in Proc. MICCAI, 2024.</w:t>
      </w:r>
    </w:p>
    <w:p>
      <w:pPr>
        <w:spacing w:after="20"/>
        <w:ind w:left="360" w:hanging="360"/>
      </w:pPr>
      <w:r>
        <w:rPr>
          <w:rFonts w:ascii="Times New Roman" w:cs="Times New Roman" w:eastAsia="Times New Roman" w:hAnsi="Times New Roman"/>
          <w:sz w:val="16"/>
          <w:szCs w:val="16"/>
        </w:rPr>
        <w:t xml:space="preserve">[5] Y. Kirchhoff et al., “Skeleton Recall Loss for Connectivity Conserving and Resource Efficient Segmentation of Thin Tubular Structures,” in Proc. ECCV, 2024.</w:t>
      </w:r>
    </w:p>
    <w:p>
      <w:pPr>
        <w:spacing w:after="20"/>
        <w:ind w:left="360" w:hanging="360"/>
      </w:pPr>
      <w:r>
        <w:rPr>
          <w:rFonts w:ascii="Times New Roman" w:cs="Times New Roman" w:eastAsia="Times New Roman" w:hAnsi="Times New Roman"/>
          <w:sz w:val="16"/>
          <w:szCs w:val="16"/>
        </w:rPr>
        <w:t xml:space="preserve">[6] P. Shi et al., “Centerline Boundary Dice Loss for Vascular Segmentation,” in Proc. MICCAI, 2024.</w:t>
      </w:r>
    </w:p>
    <w:p>
      <w:pPr>
        <w:spacing w:after="20"/>
        <w:ind w:left="360" w:hanging="360"/>
      </w:pPr>
      <w:r>
        <w:rPr>
          <w:rFonts w:ascii="Times New Roman" w:cs="Times New Roman" w:eastAsia="Times New Roman" w:hAnsi="Times New Roman"/>
          <w:sz w:val="16"/>
          <w:szCs w:val="16"/>
        </w:rPr>
        <w:t xml:space="preserve">[7] C. Acebes et al., “The Centerline-Cross Entropy Loss for Vessel-Like Structure Segmentation,” in Proc. MICCAI, 2024.</w:t>
      </w:r>
    </w:p>
    <w:p>
      <w:pPr>
        <w:spacing w:after="20"/>
        <w:ind w:left="360" w:hanging="360"/>
      </w:pPr>
      <w:r>
        <w:rPr>
          <w:rFonts w:ascii="Times New Roman" w:cs="Times New Roman" w:eastAsia="Times New Roman" w:hAnsi="Times New Roman"/>
          <w:sz w:val="16"/>
          <w:szCs w:val="16"/>
        </w:rPr>
        <w:t xml:space="preserve">[8] A. Berger et al., “Topologically Faithful Multi-class Segmentation in Medical Images,” in Proc. MICCAI, 2024.</w:t>
      </w:r>
    </w:p>
    <w:p>
      <w:pPr>
        <w:spacing w:after="20"/>
        <w:ind w:left="360" w:hanging="360"/>
      </w:pPr>
      <w:r>
        <w:rPr>
          <w:rFonts w:ascii="Times New Roman" w:cs="Times New Roman" w:eastAsia="Times New Roman" w:hAnsi="Times New Roman"/>
          <w:sz w:val="16"/>
          <w:szCs w:val="16"/>
        </w:rPr>
        <w:t xml:space="preserve">[9] P. Shi et al., “NexToU: Efficient Topology-Aware U-Net for Medical Image Segmentation,” arXiv:2305.15911, 2023.</w:t>
      </w:r>
    </w:p>
    <w:p>
      <w:pPr>
        <w:spacing w:after="20"/>
        <w:ind w:left="360" w:hanging="360"/>
      </w:pPr>
      <w:r>
        <w:rPr>
          <w:rFonts w:ascii="Times New Roman" w:cs="Times New Roman" w:eastAsia="Times New Roman" w:hAnsi="Times New Roman"/>
          <w:sz w:val="16"/>
          <w:szCs w:val="16"/>
        </w:rPr>
        <w:t xml:space="preserve">[10] L. Rougé et al., “Topology Aware Multitask Cascaded U-Net for Cerebrovascular Segmentation,” PLOS ONE, vol. 19, no. 12, 2024.</w:t>
      </w:r>
    </w:p>
    <w:p>
      <w:pPr>
        <w:spacing w:after="20"/>
        <w:ind w:left="360" w:hanging="360"/>
      </w:pPr>
      <w:r>
        <w:rPr>
          <w:rFonts w:ascii="Times New Roman" w:cs="Times New Roman" w:eastAsia="Times New Roman" w:hAnsi="Times New Roman"/>
          <w:sz w:val="16"/>
          <w:szCs w:val="16"/>
        </w:rPr>
        <w:t xml:space="preserve">[11] F. Fu et al., “Rapid Vessel Segmentation and Reconstruction of Head and Neck Angiograms Using 3D CNN,” Nature Communications, vol. 11, p. 4829, 2020.</w:t>
      </w:r>
    </w:p>
    <w:p>
      <w:pPr>
        <w:spacing w:after="20"/>
        <w:ind w:left="360" w:hanging="360"/>
      </w:pPr>
      <w:r>
        <w:rPr>
          <w:rFonts w:ascii="Times New Roman" w:cs="Times New Roman" w:eastAsia="Times New Roman" w:hAnsi="Times New Roman"/>
          <w:sz w:val="16"/>
          <w:szCs w:val="16"/>
        </w:rPr>
        <w:t xml:space="preserve">[12] N. Patel et al., “Evaluating a 3D Deep Learning Pipeline for Cerebral Vessel and Intracranial Aneurysm Segmentation from CTA-DSA Image Pairs,” Neurosurgical Focus, vol. 54, no. 6, 2023.</w:t>
      </w:r>
    </w:p>
    <w:p>
      <w:pPr>
        <w:spacing w:after="20"/>
        <w:ind w:left="360" w:hanging="360"/>
      </w:pPr>
      <w:r>
        <w:rPr>
          <w:rFonts w:ascii="Times New Roman" w:cs="Times New Roman" w:eastAsia="Times New Roman" w:hAnsi="Times New Roman"/>
          <w:sz w:val="16"/>
          <w:szCs w:val="16"/>
        </w:rPr>
        <w:t xml:space="preserve">[13] E. Calabrese et al., “A Deep Learning Approach for Automated Bone Removal from CTA of the Brain,” J. Imaging Informatics in Medicine, vol. 36, pp. 1125–1137, 2023.</w:t>
      </w:r>
    </w:p>
    <w:p>
      <w:pPr>
        <w:spacing w:after="20"/>
        <w:ind w:left="360" w:hanging="360"/>
      </w:pPr>
      <w:r>
        <w:rPr>
          <w:rFonts w:ascii="Times New Roman" w:cs="Times New Roman" w:eastAsia="Times New Roman" w:hAnsi="Times New Roman"/>
          <w:sz w:val="16"/>
          <w:szCs w:val="16"/>
        </w:rPr>
        <w:t xml:space="preserve">[14] L. Chen et al., “All Answers Are in the Images: A Review of Deep Learning for Cerebrovascular Segmentation,” Computerized Medical Imaging and Graphics, vol. 107, 2023.</w:t>
      </w:r>
    </w:p>
    <w:p>
      <w:pPr>
        <w:spacing w:after="20"/>
        <w:ind w:left="360" w:hanging="360"/>
      </w:pPr>
      <w:r>
        <w:rPr>
          <w:rFonts w:ascii="Times New Roman" w:cs="Times New Roman" w:eastAsia="Times New Roman" w:hAnsi="Times New Roman"/>
          <w:sz w:val="16"/>
          <w:szCs w:val="16"/>
        </w:rPr>
        <w:t xml:space="preserve">[15] N. Stucki et al., “Topologically Faithful Image Segmentation via Induced Matching of Persistence Barcodes,” in Proc. ICML, 2023.</w:t>
      </w:r>
    </w:p>
    <w:p>
      <w:pPr>
        <w:spacing w:after="20"/>
        <w:ind w:left="360" w:hanging="360"/>
      </w:pPr>
      <w:r>
        <w:rPr>
          <w:rFonts w:ascii="Times New Roman" w:cs="Times New Roman" w:eastAsia="Times New Roman" w:hAnsi="Times New Roman"/>
          <w:sz w:val="16"/>
          <w:szCs w:val="16"/>
        </w:rPr>
        <w:t xml:space="preserve">[16] L. Mou et al., “CS2-Net: Deep Learning Segmentation of Curvilinear Structures in Medical Imaging,” Medical Image Analysis, vol. 67, 2021.</w:t>
      </w:r>
    </w:p>
    <w:sectPr>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jc w:val="center"/>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2026-03-20T01:10:34.101Z</dcterms:created>
  <dcterms:modified xsi:type="dcterms:W3CDTF">2026-03-20T01:10:34.103Z</dcterms:modified>
</cp:coreProperties>
</file>

<file path=docProps/custom.xml><?xml version="1.0" encoding="utf-8"?>
<Properties xmlns="http://schemas.openxmlformats.org/officeDocument/2006/custom-properties" xmlns:vt="http://schemas.openxmlformats.org/officeDocument/2006/docPropsVTypes"/>
</file>