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358C4">
      <w:pPr>
        <w:spacing w:after="0"/>
        <w:jc w:val="center"/>
        <w:rPr>
          <w:rFonts w:ascii="Aptos Display" w:hAnsi="Aptos Display"/>
          <w:b/>
          <w:sz w:val="44"/>
        </w:rPr>
      </w:pPr>
    </w:p>
    <w:p w14:paraId="0D13F6F2">
      <w:pPr>
        <w:spacing w:after="0"/>
        <w:jc w:val="center"/>
      </w:pPr>
      <w:r>
        <w:rPr>
          <w:rFonts w:ascii="Aptos Display" w:hAnsi="Aptos Display"/>
          <w:b/>
          <w:sz w:val="44"/>
        </w:rPr>
        <w:t>SHOPNEST SALES ANALYTICS DASHBOARD</w:t>
      </w:r>
    </w:p>
    <w:p w14:paraId="2B91BBCB">
      <w:pPr>
        <w:spacing w:after="0"/>
        <w:jc w:val="center"/>
      </w:pPr>
      <w:r>
        <w:rPr>
          <w:b/>
          <w:sz w:val="26"/>
        </w:rPr>
        <w:t>Power BI Capstone Project Report</w:t>
      </w:r>
    </w:p>
    <w:p w14:paraId="5CA17D83">
      <w:pPr>
        <w:spacing w:after="100"/>
        <w:jc w:val="center"/>
      </w:pPr>
      <w:r>
        <w:rPr>
          <w:i/>
          <w:sz w:val="20"/>
        </w:rPr>
        <w:t>Submitted By: Samiksha</w:t>
      </w:r>
    </w:p>
    <w:p w14:paraId="4CF1CED5">
      <w:pPr>
        <w:pStyle w:val="2"/>
      </w:pPr>
    </w:p>
    <w:p w14:paraId="7394A0FC">
      <w:pPr>
        <w:pStyle w:val="2"/>
      </w:pPr>
    </w:p>
    <w:p w14:paraId="7C9DB696">
      <w:pPr>
        <w:pStyle w:val="2"/>
      </w:pPr>
      <w:r>
        <w:t>Project Overview</w:t>
      </w:r>
    </w:p>
    <w:p w14:paraId="5888756A">
      <w:r>
        <w:t>The ShopNest Sales Analytics Dashboard was developed using Power BI to analyze and visualize key business metrics from the ShopNest e-commerce dataset. The dashboard covers sales performance, revenue trends, product ratings, payment methods, delivery performance and customer purchasing patterns.</w:t>
      </w:r>
    </w:p>
    <w:p w14:paraId="491FEE5D">
      <w:r>
        <w:t>Interactive visualizations and slicers allow the data to be explored by Customer State, Year and Product Category. Drillthrough is also used for detailed delivery analysis.</w:t>
      </w:r>
    </w:p>
    <w:p w14:paraId="713B0101">
      <w:pPr>
        <w:pStyle w:val="2"/>
      </w:pPr>
    </w:p>
    <w:p w14:paraId="403D0249">
      <w:pPr>
        <w:pStyle w:val="2"/>
      </w:pPr>
    </w:p>
    <w:p w14:paraId="6D487000">
      <w:pPr>
        <w:pStyle w:val="2"/>
      </w:pPr>
      <w:r>
        <w:t>Tools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35FB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28" w:type="dxa"/>
            <w:shd w:val="clear" w:color="auto" w:fill="EEF4FB"/>
            <w:vAlign w:val="center"/>
          </w:tcPr>
          <w:p w14:paraId="2DEE2066">
            <w:pPr>
              <w:jc w:val="center"/>
            </w:pPr>
            <w:r>
              <w:rPr>
                <w:b/>
                <w:sz w:val="19"/>
              </w:rPr>
              <w:t>Power BI Desktop</w:t>
            </w:r>
          </w:p>
        </w:tc>
        <w:tc>
          <w:tcPr>
            <w:tcW w:w="5328" w:type="dxa"/>
            <w:shd w:val="clear" w:color="auto" w:fill="EEF4FB"/>
            <w:vAlign w:val="center"/>
          </w:tcPr>
          <w:p w14:paraId="66C582E8">
            <w:pPr>
              <w:jc w:val="center"/>
            </w:pPr>
            <w:r>
              <w:rPr>
                <w:b/>
                <w:sz w:val="19"/>
              </w:rPr>
              <w:t>Data Modeling</w:t>
            </w:r>
          </w:p>
        </w:tc>
      </w:tr>
      <w:tr w14:paraId="4F7D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EEF4FB"/>
            <w:vAlign w:val="center"/>
          </w:tcPr>
          <w:p w14:paraId="0C10CB17">
            <w:pPr>
              <w:jc w:val="center"/>
            </w:pPr>
            <w:r>
              <w:rPr>
                <w:b/>
                <w:sz w:val="19"/>
              </w:rPr>
              <w:t>DAX Measures</w:t>
            </w:r>
          </w:p>
        </w:tc>
        <w:tc>
          <w:tcPr>
            <w:tcW w:w="5328" w:type="dxa"/>
            <w:shd w:val="clear" w:color="auto" w:fill="EEF4FB"/>
            <w:vAlign w:val="center"/>
          </w:tcPr>
          <w:p w14:paraId="051B9FAC">
            <w:pPr>
              <w:jc w:val="center"/>
            </w:pPr>
            <w:r>
              <w:rPr>
                <w:b/>
                <w:sz w:val="19"/>
              </w:rPr>
              <w:t>Data Visualization</w:t>
            </w:r>
          </w:p>
        </w:tc>
      </w:tr>
    </w:tbl>
    <w:p w14:paraId="1F708D57">
      <w:pPr>
        <w:pStyle w:val="2"/>
      </w:pPr>
    </w:p>
    <w:p w14:paraId="015AEB9C">
      <w:pPr>
        <w:pStyle w:val="2"/>
      </w:pPr>
    </w:p>
    <w:p w14:paraId="1267270B">
      <w:pPr>
        <w:pStyle w:val="2"/>
      </w:pPr>
      <w:r>
        <w:t>Dashboard Coverage</w:t>
      </w:r>
    </w:p>
    <w:p w14:paraId="681449CF">
      <w:pPr>
        <w:pStyle w:val="23"/>
        <w:spacing w:after="30" w:line="240" w:lineRule="auto"/>
      </w:pPr>
      <w:r>
        <w:rPr>
          <w:sz w:val="19"/>
        </w:rPr>
        <w:t>Top categories &amp; delayed orders by category</w:t>
      </w:r>
    </w:p>
    <w:p w14:paraId="2E6E6BDF">
      <w:pPr>
        <w:pStyle w:val="23"/>
        <w:spacing w:after="30" w:line="240" w:lineRule="auto"/>
      </w:pPr>
      <w:r>
        <w:rPr>
          <w:sz w:val="19"/>
        </w:rPr>
        <w:t>Monthly delayed vs on-time orders with drillthrough</w:t>
      </w:r>
    </w:p>
    <w:p w14:paraId="42FA2380">
      <w:pPr>
        <w:pStyle w:val="23"/>
        <w:spacing w:after="30" w:line="240" w:lineRule="auto"/>
      </w:pPr>
      <w:r>
        <w:rPr>
          <w:sz w:val="19"/>
        </w:rPr>
        <w:t>Payment methods &amp; product ratings</w:t>
      </w:r>
    </w:p>
    <w:p w14:paraId="0581455B">
      <w:pPr>
        <w:pStyle w:val="23"/>
        <w:spacing w:after="30" w:line="240" w:lineRule="auto"/>
      </w:pPr>
      <w:r>
        <w:rPr>
          <w:sz w:val="19"/>
        </w:rPr>
        <w:t>State-wise sales, monthly/quarterly trends &amp; yearly revenue</w:t>
      </w:r>
    </w:p>
    <w:p w14:paraId="329D8F4B">
      <w:pPr>
        <w:pStyle w:val="23"/>
        <w:spacing w:after="30" w:line="240" w:lineRule="auto"/>
      </w:pPr>
      <w:r>
        <w:rPr>
          <w:sz w:val="19"/>
        </w:rPr>
        <w:t>Slicers: Customer State, Year &amp; Product Category</w:t>
      </w:r>
    </w:p>
    <w:p w14:paraId="65FD6346">
      <w:pPr>
        <w:pStyle w:val="2"/>
      </w:pPr>
    </w:p>
    <w:p w14:paraId="302B8397">
      <w:pPr>
        <w:pStyle w:val="2"/>
      </w:pPr>
    </w:p>
    <w:p w14:paraId="3139E5A1">
      <w:pPr>
        <w:pStyle w:val="2"/>
      </w:pPr>
      <w:r>
        <w:t>Key Measurable Findings</w:t>
      </w:r>
    </w:p>
    <w:p w14:paraId="49E406AD">
      <w:pPr>
        <w:pStyle w:val="23"/>
        <w:spacing w:after="30" w:line="240" w:lineRule="auto"/>
      </w:pPr>
      <w:r>
        <w:rPr>
          <w:sz w:val="19"/>
        </w:rPr>
        <w:t>99,000+ orders analyzed; ~7.9% delayed (7,827 of 99,441).</w:t>
      </w:r>
    </w:p>
    <w:p w14:paraId="24F72E13">
      <w:pPr>
        <w:pStyle w:val="23"/>
        <w:spacing w:after="30" w:line="240" w:lineRule="auto"/>
      </w:pPr>
      <w:r>
        <w:rPr>
          <w:sz w:val="19"/>
        </w:rPr>
        <w:t>Credit card was the most-used payment method at ~73.9%.</w:t>
      </w:r>
    </w:p>
    <w:p w14:paraId="1B9AFCA4">
      <w:pPr>
        <w:pStyle w:val="23"/>
        <w:spacing w:after="30" w:line="240" w:lineRule="auto"/>
      </w:pPr>
      <w:r>
        <w:rPr>
          <w:sz w:val="19"/>
        </w:rPr>
        <w:t>Beauty &amp; Health was the highest-sales category at ~1.25M.</w:t>
      </w:r>
    </w:p>
    <w:p w14:paraId="5560B76A">
      <w:pPr>
        <w:pStyle w:val="23"/>
        <w:spacing w:after="30" w:line="240" w:lineRule="auto"/>
      </w:pPr>
      <w:r>
        <w:rPr>
          <w:sz w:val="19"/>
        </w:rPr>
        <w:t>São Paulo (SP) recorded the highest state-level sales at ~5M.</w:t>
      </w:r>
    </w:p>
    <w:p w14:paraId="01DF53BE">
      <w:pPr>
        <w:pStyle w:val="23"/>
        <w:spacing w:after="30" w:line="240" w:lineRule="auto"/>
      </w:pPr>
      <w:r>
        <w:rPr>
          <w:sz w:val="19"/>
        </w:rPr>
        <w:t>Revenue increased from ~6.2M in 2017 to ~7.4M in 2018.</w:t>
      </w:r>
    </w:p>
    <w:p w14:paraId="116FDC3F">
      <w:r>
        <w:br w:type="page"/>
      </w:r>
    </w:p>
    <w:p w14:paraId="342F282D">
      <w:pPr>
        <w:keepNext/>
        <w:pBdr>
          <w:bottom w:val="single" w:color="B4C6E7" w:sz="4" w:space="1"/>
        </w:pBdr>
        <w:spacing w:before="0" w:after="40"/>
        <w:rPr>
          <w:rFonts w:ascii="Aptos Display" w:hAnsi="Aptos Display"/>
          <w:b/>
          <w:sz w:val="26"/>
        </w:rPr>
      </w:pPr>
    </w:p>
    <w:p w14:paraId="6A986888">
      <w:pPr>
        <w:keepNext/>
        <w:pBdr>
          <w:bottom w:val="single" w:color="B4C6E7" w:sz="4" w:space="1"/>
        </w:pBdr>
        <w:spacing w:before="0" w:after="40"/>
        <w:rPr>
          <w:rFonts w:ascii="Aptos Display" w:hAnsi="Aptos Display"/>
          <w:b/>
          <w:sz w:val="26"/>
        </w:rPr>
      </w:pPr>
    </w:p>
    <w:p w14:paraId="0510DE4E">
      <w:pPr>
        <w:keepNext/>
        <w:pBdr>
          <w:bottom w:val="single" w:color="B4C6E7" w:sz="4" w:space="1"/>
        </w:pBdr>
        <w:spacing w:before="0" w:after="40"/>
      </w:pPr>
      <w:r>
        <w:rPr>
          <w:rFonts w:ascii="Aptos Display" w:hAnsi="Aptos Display"/>
          <w:b/>
          <w:sz w:val="26"/>
        </w:rPr>
        <w:t>QUESTION 1 — Top Categories by Total Sales</w:t>
      </w:r>
    </w:p>
    <w:p w14:paraId="5693FC5F">
      <w:pPr>
        <w:spacing w:after="20" w:line="240" w:lineRule="auto"/>
      </w:pPr>
      <w:r>
        <w:rPr>
          <w:b/>
          <w:sz w:val="19"/>
        </w:rPr>
        <w:t xml:space="preserve">Task: </w:t>
      </w:r>
      <w:r>
        <w:rPr>
          <w:sz w:val="19"/>
        </w:rPr>
        <w:t>Identify and visually represent the top 10 product categories by total sales.</w:t>
      </w:r>
    </w:p>
    <w:p w14:paraId="43A66D9E">
      <w:pPr>
        <w:spacing w:after="20" w:line="240" w:lineRule="auto"/>
      </w:pPr>
      <w:r>
        <w:rPr>
          <w:b/>
          <w:sz w:val="19"/>
        </w:rPr>
        <w:t xml:space="preserve">Visualization: </w:t>
      </w:r>
      <w:r>
        <w:rPr>
          <w:sz w:val="19"/>
        </w:rPr>
        <w:t>Bar chart showing the Top 10 Product Categories ranked by total sales.</w:t>
      </w:r>
    </w:p>
    <w:p w14:paraId="25BCBDED">
      <w:pPr>
        <w:spacing w:before="40" w:after="40"/>
        <w:jc w:val="center"/>
      </w:pPr>
      <w:r>
        <w:drawing>
          <wp:inline xmlns:a="http://schemas.openxmlformats.org/drawingml/2006/main" xmlns:pic="http://schemas.openxmlformats.org/drawingml/2006/picture">
            <wp:extent cx="4709160" cy="2465070"/>
            <wp:docPr id="9" name="Picture 9"/>
            <wp:cNvGraphicFramePr>
              <a:graphicFrameLocks noChangeAspect="1"/>
            </wp:cNvGraphicFramePr>
            <a:graphic>
              <a:graphicData uri="http://schemas.openxmlformats.org/drawingml/2006/picture">
                <pic:pic>
                  <pic:nvPicPr>
                    <pic:cNvPr id="0" name="chart1.png"/>
                    <pic:cNvPicPr/>
                  </pic:nvPicPr>
                  <pic:blipFill>
                    <a:blip r:embed="rId18"/>
                    <a:stretch>
                      <a:fillRect/>
                    </a:stretch>
                  </pic:blipFill>
                  <pic:spPr>
                    <a:xfrm>
                      <a:off x="0" y="0"/>
                      <a:ext cx="4709160" cy="2465070"/>
                    </a:xfrm>
                    <a:prstGeom prst="rect"/>
                  </pic:spPr>
                </pic:pic>
              </a:graphicData>
            </a:graphic>
          </wp:inline>
        </w:drawing>
      </w:r>
    </w:p>
    <w:p w14:paraId="097D51E5">
      <w:pPr>
        <w:spacing w:before="40" w:after="60" w:line="245" w:lineRule="auto"/>
      </w:pPr>
      <w:r>
        <w:rPr>
          <w:b/>
          <w:sz w:val="19"/>
        </w:rPr>
        <w:t xml:space="preserve">Explanation: </w:t>
      </w:r>
      <w:r>
        <w:rPr>
          <w:sz w:val="19"/>
        </w:rPr>
        <w:t>The chart ranks the ten highest-performing categories by sales value. Beauty &amp; Health appears as the highest-sales category at approximately 1.25M.</w:t>
      </w:r>
    </w:p>
    <w:p w14:paraId="72C3B646">
      <w:pPr>
        <w:keepNext/>
        <w:pBdr>
          <w:bottom w:val="single" w:color="B4C6E7" w:sz="4" w:space="1"/>
        </w:pBdr>
        <w:spacing w:before="180" w:after="40"/>
        <w:rPr>
          <w:rFonts w:ascii="Aptos Display" w:hAnsi="Aptos Display"/>
          <w:b/>
          <w:sz w:val="26"/>
        </w:rPr>
      </w:pPr>
    </w:p>
    <w:p w14:paraId="6437D8E7">
      <w:pPr>
        <w:keepNext/>
        <w:pBdr>
          <w:bottom w:val="single" w:color="B4C6E7" w:sz="4" w:space="1"/>
        </w:pBdr>
        <w:spacing w:before="180" w:after="40"/>
        <w:rPr>
          <w:rFonts w:ascii="Aptos Display" w:hAnsi="Aptos Display"/>
          <w:b/>
          <w:sz w:val="26"/>
        </w:rPr>
      </w:pPr>
    </w:p>
    <w:p w14:paraId="6C7270FE">
      <w:pPr>
        <w:keepNext/>
        <w:pBdr>
          <w:bottom w:val="single" w:color="B4C6E7" w:sz="4" w:space="1"/>
        </w:pBdr>
        <w:spacing w:before="220" w:after="40"/>
      </w:pPr>
      <w:r>
        <w:rPr>
          <w:rFonts w:ascii="Aptos Display" w:hAnsi="Aptos Display"/>
          <w:b/>
          <w:sz w:val="26"/>
        </w:rPr>
        <w:t>QUESTION 2 — Delayed Orders Analysis</w:t>
      </w:r>
    </w:p>
    <w:p w14:paraId="02B0C2B9">
      <w:pPr>
        <w:spacing w:after="20" w:line="240" w:lineRule="auto"/>
      </w:pPr>
      <w:r>
        <w:rPr>
          <w:b/>
          <w:sz w:val="19"/>
        </w:rPr>
        <w:t xml:space="preserve">Task: </w:t>
      </w:r>
      <w:r>
        <w:rPr>
          <w:sz w:val="19"/>
        </w:rPr>
        <w:t>Determine delayed orders in each category where actual delivery date is later than the estimated delivery date.</w:t>
      </w:r>
    </w:p>
    <w:p w14:paraId="3D3FF199">
      <w:pPr>
        <w:spacing w:after="20" w:line="240" w:lineRule="auto"/>
      </w:pPr>
      <w:r>
        <w:rPr>
          <w:b/>
          <w:sz w:val="19"/>
        </w:rPr>
        <w:t xml:space="preserve">Visualization: </w:t>
      </w:r>
      <w:r>
        <w:rPr>
          <w:sz w:val="19"/>
        </w:rPr>
        <w:t>Bar chart displaying delayed-order count across product categories.</w:t>
      </w:r>
    </w:p>
    <w:p w14:paraId="6F66CADD">
      <w:pPr>
        <w:spacing w:before="40" w:after="40"/>
        <w:jc w:val="center"/>
      </w:pPr>
      <w:r>
        <w:drawing>
          <wp:inline xmlns:a="http://schemas.openxmlformats.org/drawingml/2006/main" xmlns:pic="http://schemas.openxmlformats.org/drawingml/2006/picture">
            <wp:extent cx="4343400" cy="2857500"/>
            <wp:docPr id="10" name="Picture 10"/>
            <wp:cNvGraphicFramePr>
              <a:graphicFrameLocks noChangeAspect="1"/>
            </wp:cNvGraphicFramePr>
            <a:graphic>
              <a:graphicData uri="http://schemas.openxmlformats.org/drawingml/2006/picture">
                <pic:pic>
                  <pic:nvPicPr>
                    <pic:cNvPr id="0" name="chart2.png"/>
                    <pic:cNvPicPr/>
                  </pic:nvPicPr>
                  <pic:blipFill>
                    <a:blip r:embed="rId19"/>
                    <a:stretch>
                      <a:fillRect/>
                    </a:stretch>
                  </pic:blipFill>
                  <pic:spPr>
                    <a:xfrm>
                      <a:off x="0" y="0"/>
                      <a:ext cx="4343400" cy="2857500"/>
                    </a:xfrm>
                    <a:prstGeom prst="rect"/>
                  </pic:spPr>
                </pic:pic>
              </a:graphicData>
            </a:graphic>
          </wp:inline>
        </w:drawing>
      </w:r>
    </w:p>
    <w:p w14:paraId="106B278B">
      <w:pPr>
        <w:spacing w:before="40" w:after="60" w:line="245" w:lineRule="auto"/>
      </w:pPr>
      <w:r>
        <w:rPr>
          <w:b/>
          <w:sz w:val="19"/>
        </w:rPr>
        <w:t xml:space="preserve">Explanation: </w:t>
      </w:r>
      <w:r>
        <w:rPr>
          <w:sz w:val="19"/>
        </w:rPr>
        <w:t>The visual groups delayed deliveries by category to show where delays occurred more frequently. Approximately 7.9% of all orders were delayed. It shows the pattern of delays, not their root cause.</w:t>
      </w:r>
    </w:p>
    <w:p w14:paraId="2B239CB8">
      <w:r>
        <w:br w:type="page"/>
      </w:r>
    </w:p>
    <w:p w14:paraId="01C1BA93">
      <w:pPr>
        <w:keepNext/>
        <w:pBdr>
          <w:bottom w:val="single" w:color="B4C6E7" w:sz="4" w:space="1"/>
        </w:pBdr>
        <w:spacing w:before="0" w:after="40"/>
        <w:rPr>
          <w:rFonts w:ascii="Aptos Display" w:hAnsi="Aptos Display"/>
          <w:b/>
          <w:sz w:val="26"/>
        </w:rPr>
      </w:pPr>
    </w:p>
    <w:p w14:paraId="548977B3">
      <w:pPr>
        <w:keepNext/>
        <w:pBdr>
          <w:bottom w:val="single" w:color="B4C6E7" w:sz="4" w:space="1"/>
        </w:pBdr>
        <w:spacing w:before="0" w:after="40"/>
      </w:pPr>
      <w:r>
        <w:rPr>
          <w:rFonts w:ascii="Aptos Display" w:hAnsi="Aptos Display"/>
          <w:b/>
          <w:sz w:val="26"/>
        </w:rPr>
        <w:t>QUESTION 3 — Monthly Delayed vs On-Time Orders</w:t>
      </w:r>
    </w:p>
    <w:p w14:paraId="73187DE9">
      <w:pPr>
        <w:spacing w:after="20" w:line="240" w:lineRule="auto"/>
      </w:pPr>
      <w:r>
        <w:rPr>
          <w:b/>
          <w:sz w:val="19"/>
        </w:rPr>
        <w:t xml:space="preserve">Task: </w:t>
      </w:r>
      <w:r>
        <w:rPr>
          <w:sz w:val="19"/>
        </w:rPr>
        <w:t>Compare delayed and on-time orders for each month and use drillthrough for detailed delivery analysis.</w:t>
      </w:r>
    </w:p>
    <w:p w14:paraId="684E5B02">
      <w:pPr>
        <w:spacing w:after="20" w:line="240" w:lineRule="auto"/>
      </w:pPr>
      <w:r>
        <w:rPr>
          <w:b/>
          <w:sz w:val="19"/>
        </w:rPr>
        <w:t xml:space="preserve">Visualization: </w:t>
      </w:r>
      <w:r>
        <w:rPr>
          <w:sz w:val="19"/>
        </w:rPr>
        <w:t>Clustered column chart comparing Delayed Orders and On-Time Orders by month.</w:t>
      </w:r>
    </w:p>
    <w:p w14:paraId="0A863C9F">
      <w:pPr>
        <w:spacing w:before="40" w:after="40"/>
        <w:jc w:val="center"/>
      </w:pPr>
      <w:r>
        <w:drawing>
          <wp:inline xmlns:a="http://schemas.openxmlformats.org/drawingml/2006/main" xmlns:pic="http://schemas.openxmlformats.org/drawingml/2006/picture">
            <wp:extent cx="4572000" cy="2766695"/>
            <wp:docPr id="11" name="Picture 11"/>
            <wp:cNvGraphicFramePr>
              <a:graphicFrameLocks noChangeAspect="1"/>
            </wp:cNvGraphicFramePr>
            <a:graphic>
              <a:graphicData uri="http://schemas.openxmlformats.org/drawingml/2006/picture">
                <pic:pic>
                  <pic:nvPicPr>
                    <pic:cNvPr id="0" name="chart3.png"/>
                    <pic:cNvPicPr/>
                  </pic:nvPicPr>
                  <pic:blipFill>
                    <a:blip r:embed="rId20"/>
                    <a:stretch>
                      <a:fillRect/>
                    </a:stretch>
                  </pic:blipFill>
                  <pic:spPr>
                    <a:xfrm>
                      <a:off x="0" y="0"/>
                      <a:ext cx="4572000" cy="2766695"/>
                    </a:xfrm>
                    <a:prstGeom prst="rect"/>
                  </pic:spPr>
                </pic:pic>
              </a:graphicData>
            </a:graphic>
          </wp:inline>
        </w:drawing>
      </w:r>
    </w:p>
    <w:p w14:paraId="209E079E">
      <w:pPr>
        <w:spacing w:before="40" w:after="60" w:line="245" w:lineRule="auto"/>
      </w:pPr>
      <w:r>
        <w:rPr>
          <w:b/>
          <w:sz w:val="19"/>
        </w:rPr>
        <w:t xml:space="preserve">Explanation: </w:t>
      </w:r>
      <w:r>
        <w:rPr>
          <w:sz w:val="19"/>
        </w:rPr>
        <w:t>The visual provides a month-by-month comparison of delivery performance. The PBIX also includes a Delivery Analysis drillthrough page for order-level investigation.</w:t>
      </w:r>
    </w:p>
    <w:p w14:paraId="0AAAD151">
      <w:pPr>
        <w:keepNext/>
        <w:pBdr>
          <w:bottom w:val="single" w:color="B4C6E7" w:sz="4" w:space="1"/>
        </w:pBdr>
        <w:spacing w:before="180" w:after="40"/>
        <w:rPr>
          <w:rFonts w:ascii="Aptos Display" w:hAnsi="Aptos Display"/>
          <w:b/>
          <w:sz w:val="26"/>
        </w:rPr>
      </w:pPr>
    </w:p>
    <w:p w14:paraId="785DD4BF">
      <w:pPr>
        <w:keepNext/>
        <w:pBdr>
          <w:bottom w:val="single" w:color="B4C6E7" w:sz="4" w:space="1"/>
        </w:pBdr>
        <w:spacing w:before="180" w:after="40"/>
        <w:rPr>
          <w:rFonts w:ascii="Aptos Display" w:hAnsi="Aptos Display"/>
          <w:b/>
          <w:sz w:val="26"/>
        </w:rPr>
      </w:pPr>
    </w:p>
    <w:p w14:paraId="1F578D43">
      <w:pPr>
        <w:keepNext/>
        <w:pBdr>
          <w:bottom w:val="single" w:color="B4C6E7" w:sz="4" w:space="1"/>
        </w:pBdr>
        <w:spacing w:before="220" w:after="40"/>
      </w:pPr>
      <w:r>
        <w:rPr>
          <w:rFonts w:ascii="Aptos Display" w:hAnsi="Aptos Display"/>
          <w:b/>
          <w:sz w:val="26"/>
        </w:rPr>
        <w:t>QUESTION 4 — Payment Method Analysis</w:t>
      </w:r>
    </w:p>
    <w:p w14:paraId="586B5D2C">
      <w:pPr>
        <w:spacing w:after="20" w:line="240" w:lineRule="auto"/>
      </w:pPr>
      <w:r>
        <w:rPr>
          <w:b/>
          <w:sz w:val="19"/>
        </w:rPr>
        <w:t xml:space="preserve">Task: </w:t>
      </w:r>
      <w:r>
        <w:rPr>
          <w:sz w:val="19"/>
        </w:rPr>
        <w:t>Analyze the payment methods most frequently used by customers.</w:t>
      </w:r>
    </w:p>
    <w:p w14:paraId="3F37FDDE">
      <w:pPr>
        <w:spacing w:after="20" w:line="240" w:lineRule="auto"/>
      </w:pPr>
      <w:r>
        <w:rPr>
          <w:b/>
          <w:sz w:val="19"/>
        </w:rPr>
        <w:t xml:space="preserve">Visualization: </w:t>
      </w:r>
      <w:r>
        <w:rPr>
          <w:sz w:val="19"/>
        </w:rPr>
        <w:t>Donut chart showing transaction distribution across payment methods.</w:t>
      </w:r>
    </w:p>
    <w:p w14:paraId="38ACCF21">
      <w:pPr>
        <w:spacing w:before="40" w:after="40"/>
        <w:jc w:val="center"/>
      </w:pPr>
      <w:r>
        <w:drawing>
          <wp:inline xmlns:a="http://schemas.openxmlformats.org/drawingml/2006/main" xmlns:pic="http://schemas.openxmlformats.org/drawingml/2006/picture">
            <wp:extent cx="3886200" cy="3015615"/>
            <wp:docPr id="12" name="Picture 12"/>
            <wp:cNvGraphicFramePr>
              <a:graphicFrameLocks noChangeAspect="1"/>
            </wp:cNvGraphicFramePr>
            <a:graphic>
              <a:graphicData uri="http://schemas.openxmlformats.org/drawingml/2006/picture">
                <pic:pic>
                  <pic:nvPicPr>
                    <pic:cNvPr id="0" name="chart4.png"/>
                    <pic:cNvPicPr/>
                  </pic:nvPicPr>
                  <pic:blipFill>
                    <a:blip r:embed="rId21"/>
                    <a:stretch>
                      <a:fillRect/>
                    </a:stretch>
                  </pic:blipFill>
                  <pic:spPr>
                    <a:xfrm>
                      <a:off x="0" y="0"/>
                      <a:ext cx="3886200" cy="3015615"/>
                    </a:xfrm>
                    <a:prstGeom prst="rect"/>
                  </pic:spPr>
                </pic:pic>
              </a:graphicData>
            </a:graphic>
          </wp:inline>
        </w:drawing>
      </w:r>
    </w:p>
    <w:p w14:paraId="21D1DF8D">
      <w:pPr>
        <w:spacing w:before="40" w:after="60" w:line="245" w:lineRule="auto"/>
      </w:pPr>
      <w:r>
        <w:rPr>
          <w:b/>
          <w:sz w:val="19"/>
        </w:rPr>
        <w:t xml:space="preserve">Explanation: </w:t>
      </w:r>
      <w:r>
        <w:rPr>
          <w:sz w:val="19"/>
        </w:rPr>
        <w:t>Credit card is the dominant payment method at approximately 73.9%, followed by boleto at approximately 19.0% and voucher at approximately 5.6%.</w:t>
      </w:r>
    </w:p>
    <w:p w14:paraId="40017BCF">
      <w:r>
        <w:br w:type="page"/>
      </w:r>
    </w:p>
    <w:p w14:paraId="5C22CB97">
      <w:pPr>
        <w:keepNext/>
        <w:pBdr>
          <w:bottom w:val="single" w:color="B4C6E7" w:sz="4" w:space="1"/>
        </w:pBdr>
        <w:spacing w:before="0" w:after="40"/>
        <w:rPr>
          <w:rFonts w:ascii="Aptos Display" w:hAnsi="Aptos Display"/>
          <w:b/>
          <w:sz w:val="26"/>
        </w:rPr>
      </w:pPr>
    </w:p>
    <w:p w14:paraId="7875F892">
      <w:pPr>
        <w:keepNext/>
        <w:pBdr>
          <w:bottom w:val="single" w:color="B4C6E7" w:sz="4" w:space="1"/>
        </w:pBdr>
        <w:spacing w:before="0" w:after="40"/>
        <w:rPr>
          <w:rFonts w:ascii="Aptos Display" w:hAnsi="Aptos Display"/>
          <w:b/>
          <w:sz w:val="26"/>
        </w:rPr>
      </w:pPr>
    </w:p>
    <w:p w14:paraId="26828583">
      <w:pPr>
        <w:keepNext/>
        <w:pBdr>
          <w:bottom w:val="single" w:color="B4C6E7" w:sz="4" w:space="1"/>
        </w:pBdr>
        <w:spacing w:before="0" w:after="40"/>
      </w:pPr>
      <w:r>
        <w:rPr>
          <w:rFonts w:ascii="Aptos Display" w:hAnsi="Aptos Display"/>
          <w:b/>
          <w:sz w:val="26"/>
        </w:rPr>
        <w:t>QUESTION 5 — Product Rating Analysis</w:t>
      </w:r>
    </w:p>
    <w:p w14:paraId="08681A60">
      <w:pPr>
        <w:spacing w:after="20" w:line="240" w:lineRule="auto"/>
      </w:pPr>
      <w:r>
        <w:rPr>
          <w:b/>
          <w:sz w:val="19"/>
        </w:rPr>
        <w:t xml:space="preserve">Task: </w:t>
      </w:r>
      <w:r>
        <w:rPr>
          <w:sz w:val="19"/>
        </w:rPr>
        <w:t>Determine the top 10 highest-rated and bottom 10 lowest-rated products.</w:t>
      </w:r>
    </w:p>
    <w:p w14:paraId="0A43A601">
      <w:pPr>
        <w:spacing w:after="20" w:line="240" w:lineRule="auto"/>
      </w:pPr>
      <w:r>
        <w:rPr>
          <w:b/>
          <w:sz w:val="19"/>
        </w:rPr>
        <w:t xml:space="preserve">Visualization: </w:t>
      </w:r>
      <w:r>
        <w:rPr>
          <w:sz w:val="19"/>
        </w:rPr>
        <w:t>Two bar charts comparing the Top 10 Highest-Rated and Bottom 10 Lowest-Rated Products.</w:t>
      </w:r>
    </w:p>
    <w:p w14:paraId="274CB2E8">
      <w:pPr>
        <w:spacing w:before="40" w:after="40"/>
        <w:jc w:val="center"/>
      </w:pPr>
      <w:r>
        <w:drawing>
          <wp:inline xmlns:a="http://schemas.openxmlformats.org/drawingml/2006/main" xmlns:pic="http://schemas.openxmlformats.org/drawingml/2006/picture">
            <wp:extent cx="5669280" cy="2096135"/>
            <wp:docPr id="13" name="Picture 13"/>
            <wp:cNvGraphicFramePr>
              <a:graphicFrameLocks noChangeAspect="1"/>
            </wp:cNvGraphicFramePr>
            <a:graphic>
              <a:graphicData uri="http://schemas.openxmlformats.org/drawingml/2006/picture">
                <pic:pic>
                  <pic:nvPicPr>
                    <pic:cNvPr id="0" name="chart5.png"/>
                    <pic:cNvPicPr/>
                  </pic:nvPicPr>
                  <pic:blipFill>
                    <a:blip r:embed="rId22"/>
                    <a:stretch>
                      <a:fillRect/>
                    </a:stretch>
                  </pic:blipFill>
                  <pic:spPr>
                    <a:xfrm>
                      <a:off x="0" y="0"/>
                      <a:ext cx="5669280" cy="2096135"/>
                    </a:xfrm>
                    <a:prstGeom prst="rect"/>
                  </pic:spPr>
                </pic:pic>
              </a:graphicData>
            </a:graphic>
          </wp:inline>
        </w:drawing>
      </w:r>
    </w:p>
    <w:p w14:paraId="03511257">
      <w:pPr>
        <w:spacing w:before="40" w:after="60" w:line="245" w:lineRule="auto"/>
      </w:pPr>
      <w:r>
        <w:rPr>
          <w:b/>
          <w:sz w:val="19"/>
        </w:rPr>
        <w:t xml:space="preserve">Explanation: </w:t>
      </w:r>
      <w:r>
        <w:rPr>
          <w:sz w:val="19"/>
        </w:rPr>
        <w:t>The visual compares both ends of the rating distribution and identifies products with relatively high and low average ratings. The ratings do not explain the reason for the scores.</w:t>
      </w:r>
    </w:p>
    <w:p w14:paraId="5E838967">
      <w:pPr>
        <w:keepNext/>
        <w:pBdr>
          <w:bottom w:val="single" w:color="B4C6E7" w:sz="4" w:space="1"/>
        </w:pBdr>
        <w:spacing w:before="180" w:after="40"/>
        <w:rPr>
          <w:rFonts w:ascii="Aptos Display" w:hAnsi="Aptos Display"/>
          <w:b/>
          <w:sz w:val="26"/>
        </w:rPr>
      </w:pPr>
    </w:p>
    <w:p w14:paraId="51238816">
      <w:pPr>
        <w:keepNext/>
        <w:pBdr>
          <w:bottom w:val="single" w:color="B4C6E7" w:sz="4" w:space="1"/>
        </w:pBdr>
        <w:spacing w:before="180" w:after="40"/>
        <w:rPr>
          <w:rFonts w:ascii="Aptos Display" w:hAnsi="Aptos Display"/>
          <w:b/>
          <w:sz w:val="26"/>
        </w:rPr>
      </w:pPr>
    </w:p>
    <w:p w14:paraId="47FFB536">
      <w:pPr>
        <w:keepNext/>
        <w:pBdr>
          <w:bottom w:val="single" w:color="B4C6E7" w:sz="4" w:space="1"/>
        </w:pBdr>
        <w:spacing w:before="220" w:after="40"/>
      </w:pPr>
      <w:r>
        <w:rPr>
          <w:rFonts w:ascii="Aptos Display" w:hAnsi="Aptos Display"/>
          <w:b/>
          <w:sz w:val="26"/>
        </w:rPr>
        <w:t>QUESTION 6 — State-wise Sales Performance</w:t>
      </w:r>
    </w:p>
    <w:p w14:paraId="1ACA2921">
      <w:pPr>
        <w:spacing w:after="20" w:line="240" w:lineRule="auto"/>
      </w:pPr>
      <w:r>
        <w:rPr>
          <w:b/>
          <w:sz w:val="19"/>
        </w:rPr>
        <w:t xml:space="preserve">Task: </w:t>
      </w:r>
      <w:r>
        <w:rPr>
          <w:sz w:val="19"/>
        </w:rPr>
        <w:t>Identify and visually represent states with high and low sales.</w:t>
      </w:r>
    </w:p>
    <w:p w14:paraId="10B449A2">
      <w:pPr>
        <w:spacing w:after="20" w:line="240" w:lineRule="auto"/>
      </w:pPr>
      <w:r>
        <w:rPr>
          <w:b/>
          <w:sz w:val="19"/>
        </w:rPr>
        <w:t xml:space="preserve">Visualization: </w:t>
      </w:r>
      <w:r>
        <w:rPr>
          <w:sz w:val="19"/>
        </w:rPr>
        <w:t>Bar charts comparing total sales across states.</w:t>
      </w:r>
    </w:p>
    <w:p w14:paraId="2523834D">
      <w:pPr>
        <w:spacing w:before="40" w:after="40"/>
        <w:jc w:val="center"/>
      </w:pPr>
      <w:r>
        <w:drawing>
          <wp:inline xmlns:a="http://schemas.openxmlformats.org/drawingml/2006/main" xmlns:pic="http://schemas.openxmlformats.org/drawingml/2006/picture">
            <wp:extent cx="5669280" cy="2056765"/>
            <wp:docPr id="14" name="Picture 14"/>
            <wp:cNvGraphicFramePr>
              <a:graphicFrameLocks noChangeAspect="1"/>
            </wp:cNvGraphicFramePr>
            <a:graphic>
              <a:graphicData uri="http://schemas.openxmlformats.org/drawingml/2006/picture">
                <pic:pic>
                  <pic:nvPicPr>
                    <pic:cNvPr id="0" name="chart6.png"/>
                    <pic:cNvPicPr/>
                  </pic:nvPicPr>
                  <pic:blipFill>
                    <a:blip r:embed="rId23"/>
                    <a:stretch>
                      <a:fillRect/>
                    </a:stretch>
                  </pic:blipFill>
                  <pic:spPr>
                    <a:xfrm>
                      <a:off x="0" y="0"/>
                      <a:ext cx="5669280" cy="2056765"/>
                    </a:xfrm>
                    <a:prstGeom prst="rect"/>
                  </pic:spPr>
                </pic:pic>
              </a:graphicData>
            </a:graphic>
          </wp:inline>
        </w:drawing>
      </w:r>
    </w:p>
    <w:p w14:paraId="09BFDC0F">
      <w:pPr>
        <w:spacing w:before="40" w:after="60" w:line="245" w:lineRule="auto"/>
      </w:pPr>
      <w:r>
        <w:rPr>
          <w:b/>
          <w:sz w:val="19"/>
        </w:rPr>
        <w:t xml:space="preserve">Explanation: </w:t>
      </w:r>
      <w:r>
        <w:rPr>
          <w:sz w:val="19"/>
        </w:rPr>
        <w:t>The visual highlights geographic variation in sales. São Paulo (SP) records the highest state-level sales at approximately 5M.</w:t>
      </w:r>
    </w:p>
    <w:p w14:paraId="66C19AD9">
      <w:r>
        <w:br w:type="page"/>
      </w:r>
    </w:p>
    <w:p w14:paraId="6A9C5AAC">
      <w:pPr>
        <w:keepNext/>
        <w:pBdr>
          <w:bottom w:val="single" w:color="B4C6E7" w:sz="4" w:space="1"/>
        </w:pBdr>
        <w:spacing w:before="0" w:after="40"/>
        <w:rPr>
          <w:rFonts w:ascii="Aptos Display" w:hAnsi="Aptos Display"/>
          <w:b/>
          <w:sz w:val="26"/>
        </w:rPr>
      </w:pPr>
    </w:p>
    <w:p w14:paraId="0850103F">
      <w:pPr>
        <w:keepNext/>
        <w:pBdr>
          <w:bottom w:val="single" w:color="B4C6E7" w:sz="4" w:space="1"/>
        </w:pBdr>
        <w:spacing w:before="0" w:after="40"/>
        <w:rPr>
          <w:rFonts w:ascii="Aptos Display" w:hAnsi="Aptos Display"/>
          <w:b/>
          <w:sz w:val="26"/>
        </w:rPr>
      </w:pPr>
    </w:p>
    <w:p w14:paraId="65130BA4">
      <w:pPr>
        <w:keepNext/>
        <w:pBdr>
          <w:bottom w:val="single" w:color="B4C6E7" w:sz="4" w:space="1"/>
        </w:pBdr>
        <w:spacing w:before="0" w:after="40"/>
      </w:pPr>
      <w:r>
        <w:rPr>
          <w:rFonts w:ascii="Aptos Display" w:hAnsi="Aptos Display"/>
          <w:b/>
          <w:sz w:val="26"/>
        </w:rPr>
        <w:t>QUESTION 7 — Monthly and Quarterly Sales Trends</w:t>
      </w:r>
    </w:p>
    <w:p w14:paraId="33CBBEC2">
      <w:pPr>
        <w:spacing w:after="20" w:line="240" w:lineRule="auto"/>
      </w:pPr>
      <w:r>
        <w:rPr>
          <w:b/>
          <w:sz w:val="19"/>
        </w:rPr>
        <w:t xml:space="preserve">Task: </w:t>
      </w:r>
      <w:r>
        <w:rPr>
          <w:sz w:val="19"/>
        </w:rPr>
        <w:t>Investigate seasonal patterns and sales trends over the course of the year.</w:t>
      </w:r>
    </w:p>
    <w:p w14:paraId="7904D252">
      <w:pPr>
        <w:spacing w:after="20" w:line="240" w:lineRule="auto"/>
      </w:pPr>
      <w:r>
        <w:rPr>
          <w:b/>
          <w:sz w:val="19"/>
        </w:rPr>
        <w:t xml:space="preserve">Visualization: </w:t>
      </w:r>
      <w:r>
        <w:rPr>
          <w:sz w:val="19"/>
        </w:rPr>
        <w:t>Line chart for month-wise sales and clustered column chart for quarterly sales.</w:t>
      </w:r>
    </w:p>
    <w:p w14:paraId="34A535D7">
      <w:pPr>
        <w:spacing w:before="40" w:after="40"/>
        <w:jc w:val="center"/>
      </w:pPr>
      <w:r>
        <w:drawing>
          <wp:inline xmlns:a="http://schemas.openxmlformats.org/drawingml/2006/main" xmlns:pic="http://schemas.openxmlformats.org/drawingml/2006/picture">
            <wp:extent cx="5623560" cy="2221865"/>
            <wp:docPr id="15" name="Picture 15"/>
            <wp:cNvGraphicFramePr>
              <a:graphicFrameLocks noChangeAspect="1"/>
            </wp:cNvGraphicFramePr>
            <a:graphic>
              <a:graphicData uri="http://schemas.openxmlformats.org/drawingml/2006/picture">
                <pic:pic>
                  <pic:nvPicPr>
                    <pic:cNvPr id="0" name="chart7.png"/>
                    <pic:cNvPicPr/>
                  </pic:nvPicPr>
                  <pic:blipFill>
                    <a:blip r:embed="rId24"/>
                    <a:stretch>
                      <a:fillRect/>
                    </a:stretch>
                  </pic:blipFill>
                  <pic:spPr>
                    <a:xfrm>
                      <a:off x="0" y="0"/>
                      <a:ext cx="5623560" cy="2221865"/>
                    </a:xfrm>
                    <a:prstGeom prst="rect"/>
                  </pic:spPr>
                </pic:pic>
              </a:graphicData>
            </a:graphic>
          </wp:inline>
        </w:drawing>
      </w:r>
    </w:p>
    <w:p w14:paraId="7F526257">
      <w:pPr>
        <w:spacing w:before="40" w:after="60" w:line="245" w:lineRule="auto"/>
      </w:pPr>
      <w:r>
        <w:rPr>
          <w:b/>
          <w:sz w:val="19"/>
        </w:rPr>
        <w:t xml:space="preserve">Explanation: </w:t>
      </w:r>
      <w:r>
        <w:rPr>
          <w:sz w:val="19"/>
        </w:rPr>
        <w:t xml:space="preserve">The monthly view shows how sales change across months, while the quarterly view provides a broader </w:t>
      </w:r>
      <w:bookmarkStart w:id="0" w:name="_GoBack"/>
      <w:bookmarkEnd w:id="0"/>
      <w:r>
        <w:rPr>
          <w:sz w:val="19"/>
        </w:rPr>
        <w:t>comparison across the four quarters.</w:t>
      </w:r>
    </w:p>
    <w:p w14:paraId="78833253">
      <w:pPr>
        <w:keepNext/>
        <w:pBdr>
          <w:bottom w:val="single" w:color="B4C6E7" w:sz="4" w:space="1"/>
        </w:pBdr>
        <w:spacing w:before="180" w:after="40"/>
        <w:rPr>
          <w:rFonts w:ascii="Aptos Display" w:hAnsi="Aptos Display"/>
          <w:b/>
          <w:sz w:val="26"/>
        </w:rPr>
      </w:pPr>
    </w:p>
    <w:p w14:paraId="4FAEB29A">
      <w:pPr>
        <w:keepNext/>
        <w:pBdr>
          <w:bottom w:val="single" w:color="B4C6E7" w:sz="4" w:space="1"/>
        </w:pBdr>
        <w:spacing w:before="180" w:after="40"/>
        <w:rPr>
          <w:rFonts w:ascii="Aptos Display" w:hAnsi="Aptos Display"/>
          <w:b/>
          <w:sz w:val="26"/>
        </w:rPr>
      </w:pPr>
    </w:p>
    <w:p w14:paraId="03486E83">
      <w:pPr>
        <w:keepNext/>
        <w:pBdr>
          <w:bottom w:val="single" w:color="B4C6E7" w:sz="4" w:space="1"/>
        </w:pBdr>
        <w:spacing w:before="220" w:after="40"/>
      </w:pPr>
      <w:r>
        <w:rPr>
          <w:rFonts w:ascii="Aptos Display" w:hAnsi="Aptos Display"/>
          <w:b/>
          <w:sz w:val="26"/>
        </w:rPr>
        <w:t>QUESTION 8 — Year-wise Revenue Trend</w:t>
      </w:r>
    </w:p>
    <w:p w14:paraId="55B5788C">
      <w:pPr>
        <w:spacing w:after="20" w:line="240" w:lineRule="auto"/>
      </w:pPr>
      <w:r>
        <w:rPr>
          <w:b/>
          <w:sz w:val="19"/>
        </w:rPr>
        <w:t xml:space="preserve">Task: </w:t>
      </w:r>
      <w:r>
        <w:rPr>
          <w:sz w:val="19"/>
        </w:rPr>
        <w:t>Determine total revenue and analyze how it changes over time.</w:t>
      </w:r>
    </w:p>
    <w:p w14:paraId="194FE1C8">
      <w:pPr>
        <w:spacing w:after="20" w:line="240" w:lineRule="auto"/>
      </w:pPr>
      <w:r>
        <w:rPr>
          <w:b/>
          <w:sz w:val="19"/>
        </w:rPr>
        <w:t xml:space="preserve">Visualization: </w:t>
      </w:r>
      <w:r>
        <w:rPr>
          <w:sz w:val="19"/>
        </w:rPr>
        <w:t>Line chart showing the Year-wise Revenue Trend.</w:t>
      </w:r>
    </w:p>
    <w:p w14:paraId="24DA1A50">
      <w:pPr>
        <w:spacing w:before="40" w:after="40"/>
        <w:jc w:val="center"/>
      </w:pPr>
      <w:r>
        <w:drawing>
          <wp:inline xmlns:a="http://schemas.openxmlformats.org/drawingml/2006/main" xmlns:pic="http://schemas.openxmlformats.org/drawingml/2006/picture">
            <wp:extent cx="4983480" cy="2675255"/>
            <wp:docPr id="16" name="Picture 16"/>
            <wp:cNvGraphicFramePr>
              <a:graphicFrameLocks noChangeAspect="1"/>
            </wp:cNvGraphicFramePr>
            <a:graphic>
              <a:graphicData uri="http://schemas.openxmlformats.org/drawingml/2006/picture">
                <pic:pic>
                  <pic:nvPicPr>
                    <pic:cNvPr id="0" name="chart8.png"/>
                    <pic:cNvPicPr/>
                  </pic:nvPicPr>
                  <pic:blipFill>
                    <a:blip r:embed="rId25"/>
                    <a:stretch>
                      <a:fillRect/>
                    </a:stretch>
                  </pic:blipFill>
                  <pic:spPr>
                    <a:xfrm>
                      <a:off x="0" y="0"/>
                      <a:ext cx="4983480" cy="2675255"/>
                    </a:xfrm>
                    <a:prstGeom prst="rect"/>
                  </pic:spPr>
                </pic:pic>
              </a:graphicData>
            </a:graphic>
          </wp:inline>
        </w:drawing>
      </w:r>
    </w:p>
    <w:p w14:paraId="728DB551">
      <w:pPr>
        <w:spacing w:before="40" w:after="60" w:line="245" w:lineRule="auto"/>
      </w:pPr>
      <w:r>
        <w:rPr>
          <w:b/>
          <w:sz w:val="19"/>
        </w:rPr>
        <w:t xml:space="preserve">Explanation: </w:t>
      </w:r>
      <w:r>
        <w:rPr>
          <w:sz w:val="19"/>
        </w:rPr>
        <w:t>The chart compares recorded revenue across the available years. Revenue increases from approximately 6.2M in 2017 to approximately 7.4M in 2018; the earliest year is only a partial starting period.</w:t>
      </w:r>
    </w:p>
    <w:p w14:paraId="2A1FC3F4">
      <w:r>
        <w:br w:type="page"/>
      </w:r>
    </w:p>
    <w:p w14:paraId="62FE3EE8">
      <w:pPr>
        <w:pStyle w:val="2"/>
      </w:pPr>
    </w:p>
    <w:p w14:paraId="61CB2ED4">
      <w:pPr>
        <w:pStyle w:val="2"/>
      </w:pPr>
    </w:p>
    <w:p w14:paraId="1E37E747">
      <w:pPr>
        <w:pStyle w:val="2"/>
      </w:pPr>
      <w:r>
        <w:t>Dashboard Interactivity</w:t>
      </w:r>
    </w:p>
    <w:p w14:paraId="377084DE">
      <w:r>
        <w:t>The final ShopNest dashboard supports interactive exploration of the analysis rather than only static chart viewing. Connected visuals respond to selected filters, allowing the same dashboard to be viewed from different business perspectives.</w:t>
      </w:r>
    </w:p>
    <w:p w14:paraId="5CA3B554">
      <w:pPr>
        <w:pStyle w:val="23"/>
        <w:spacing w:after="30" w:line="240" w:lineRule="auto"/>
      </w:pPr>
      <w:r>
        <w:rPr>
          <w:sz w:val="20"/>
        </w:rPr>
        <w:t>Customer State slicer — filters connected visuals for the selected state.</w:t>
      </w:r>
    </w:p>
    <w:p w14:paraId="45D0DE82">
      <w:pPr>
        <w:pStyle w:val="23"/>
        <w:spacing w:after="30" w:line="240" w:lineRule="auto"/>
      </w:pPr>
      <w:r>
        <w:rPr>
          <w:sz w:val="20"/>
        </w:rPr>
        <w:t>Year slicer — updates the dashboard for the selected year.</w:t>
      </w:r>
    </w:p>
    <w:p w14:paraId="34B2F414">
      <w:pPr>
        <w:pStyle w:val="23"/>
        <w:spacing w:after="30" w:line="240" w:lineRule="auto"/>
      </w:pPr>
      <w:r>
        <w:rPr>
          <w:sz w:val="20"/>
        </w:rPr>
        <w:t>Product Category slicer — filters the analysis to the selected category.</w:t>
      </w:r>
    </w:p>
    <w:p w14:paraId="61EBD314">
      <w:pPr>
        <w:pStyle w:val="23"/>
        <w:spacing w:after="30" w:line="240" w:lineRule="auto"/>
      </w:pPr>
      <w:r>
        <w:rPr>
          <w:sz w:val="20"/>
        </w:rPr>
        <w:t>Drillthrough — opens the Delivery Analysis page for detailed delayed/on-time order records.</w:t>
      </w:r>
    </w:p>
    <w:p w14:paraId="56ADFD4F">
      <w:pPr>
        <w:pStyle w:val="23"/>
        <w:spacing w:after="30" w:line="240" w:lineRule="auto"/>
      </w:pPr>
      <w:r>
        <w:rPr>
          <w:sz w:val="20"/>
        </w:rPr>
        <w:t>Responsive visuals — connected charts update according to the selected slicer values.</w:t>
      </w:r>
    </w:p>
    <w:p w14:paraId="445104C4">
      <w:pPr>
        <w:pStyle w:val="2"/>
      </w:pPr>
    </w:p>
    <w:p w14:paraId="45FE6BD0">
      <w:pPr>
        <w:pStyle w:val="2"/>
      </w:pPr>
    </w:p>
    <w:p w14:paraId="7BFC7DB8">
      <w:pPr>
        <w:pStyle w:val="2"/>
      </w:pPr>
      <w:r>
        <w:t>Conclusion</w:t>
      </w:r>
    </w:p>
    <w:p w14:paraId="5F6E1F29">
      <w:r>
        <w:t>The ShopNest project demonstrates practical use of Power BI, data modeling, DAX measures, chart selection, slicers and drillthrough. The analysis brings together sales, delivery performance, payment preferences, product ratings, geography, seasonal patterns and revenue in one reporting project.</w:t>
      </w:r>
    </w:p>
    <w:p w14:paraId="7B99AED1">
      <w:r>
        <w:t>The project also demonstrates how measurable findings can be communicated without going beyond what the available dataset supports. The dashboard can be used to compare business patterns and identify areas that may need further investigation.</w:t>
      </w:r>
    </w:p>
    <w:p w14:paraId="07EC464E">
      <w:pPr>
        <w:pStyle w:val="2"/>
      </w:pPr>
    </w:p>
    <w:p w14:paraId="7B4D1F53">
      <w:pPr>
        <w:pStyle w:val="2"/>
      </w:pPr>
    </w:p>
    <w:p w14:paraId="2213B188">
      <w:pPr>
        <w:pStyle w:val="2"/>
      </w:pPr>
      <w:r>
        <w:t>Project Skills Demonstrated</w:t>
      </w:r>
    </w:p>
    <w:p w14:paraId="395E1068">
      <w:pPr>
        <w:pStyle w:val="23"/>
        <w:spacing w:after="30" w:line="240" w:lineRule="auto"/>
      </w:pPr>
      <w:r>
        <w:rPr>
          <w:sz w:val="20"/>
        </w:rPr>
        <w:t>Data modeling and relationship-based reporting</w:t>
      </w:r>
    </w:p>
    <w:p w14:paraId="021BAE97">
      <w:pPr>
        <w:pStyle w:val="23"/>
        <w:spacing w:after="30" w:line="240" w:lineRule="auto"/>
      </w:pPr>
      <w:r>
        <w:rPr>
          <w:sz w:val="20"/>
        </w:rPr>
        <w:t>DAX-based measures and KPI calculations</w:t>
      </w:r>
    </w:p>
    <w:p w14:paraId="3D1FCF01">
      <w:pPr>
        <w:pStyle w:val="23"/>
        <w:spacing w:after="30" w:line="240" w:lineRule="auto"/>
      </w:pPr>
      <w:r>
        <w:rPr>
          <w:sz w:val="20"/>
        </w:rPr>
        <w:t>Business-focused visual selection and comparison</w:t>
      </w:r>
    </w:p>
    <w:p w14:paraId="4972EC87">
      <w:pPr>
        <w:pStyle w:val="23"/>
        <w:spacing w:after="30" w:line="240" w:lineRule="auto"/>
      </w:pPr>
      <w:r>
        <w:rPr>
          <w:sz w:val="20"/>
        </w:rPr>
        <w:t>Interactive filtering and drillthrough analysis</w:t>
      </w:r>
    </w:p>
    <w:p w14:paraId="59FC34AC">
      <w:pPr>
        <w:pStyle w:val="23"/>
        <w:spacing w:after="30" w:line="240" w:lineRule="auto"/>
      </w:pPr>
      <w:r>
        <w:rPr>
          <w:sz w:val="20"/>
        </w:rPr>
        <w:t>Interpretation and communication of measurable findings</w:t>
      </w:r>
    </w:p>
    <w:sectPr>
      <w:footerReference r:id="rId5" w:type="default"/>
      <w:pgSz w:w="12240" w:h="15840"/>
      <w:pgMar w:top="547" w:right="792" w:bottom="547"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33205">
    <w:pPr>
      <w:pStyle w:val="18"/>
      <w:jc w:val="center"/>
    </w:pPr>
    <w:r>
      <w:rPr>
        <w:rFonts w:ascii="Aptos" w:hAnsi="Aptos"/>
        <w:sz w:val="14"/>
      </w:rPr>
      <w:t>ShopNest Sales Analytics Dashboard | Power BI Capstone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0" w:lineRule="auto"/>
      </w:pPr>
      <w:r>
        <w:separator/>
      </w:r>
    </w:p>
  </w:footnote>
  <w:footnote w:type="continuationSeparator" w:id="1">
    <w:p>
      <w:pPr>
        <w:spacing w:before="0" w:after="0" w:line="25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4340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50"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80" w:after="6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80" w:after="6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810</Words>
  <Characters>4956</Characters>
  <Lines>0</Lines>
  <Paragraphs>0</Paragraphs>
  <TotalTime>3</TotalTime>
  <ScaleCrop>false</ScaleCrop>
  <LinksUpToDate>false</LinksUpToDate>
  <CharactersWithSpaces>5695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Samiksha Maurya</cp:lastModifiedBy>
  <dcterms:modified xsi:type="dcterms:W3CDTF">2026-09-22T11:52:25Z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eyJoZGlkIjoiMDJlMzQ4MDA1OTY5MGNkNjYxZjE0MjA3NTQ3Mzc0NWUiLCJ1c2VySWQiOiI1NDk3NjI0OTkxMjQifQ==</vt:lpwstr>
  </property>
  <property fmtid="{D5CDD505-2E9C-101B-9397-08002B2CF9AE}" pid="3" name="KSOProductBuildVer">
    <vt:lpwstr>1033-12.1.0.28485</vt:lpwstr>
  </property>
  <property fmtid="{D5CDD505-2E9C-101B-9397-08002B2CF9AE}" pid="4" name="ICV">
    <vt:lpwstr>419E0800AB0348D5AB7DDA64C9DF059C_12</vt:lpwstr>
  </property>
</Properties>
</file>