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Northstar Digital Bank</w:t>
      </w:r>
    </w:p>
    <w:p>
      <w:pPr>
        <w:jc w:val="center"/>
      </w:pPr>
      <w:r>
        <w:rPr>
          <w:i/>
          <w:sz w:val="22"/>
        </w:rPr>
        <w:t>Digital Banking Product &amp; Operations Handbook — Fictional Evaluation Corpus</w:t>
      </w:r>
    </w:p>
    <w:p>
      <w:r>
        <w:t>Document ID: NSB-HBK-2026-01</w:t>
      </w:r>
    </w:p>
    <w:p>
      <w:r>
        <w:t>Version: 3.2 | Effective date: July 1, 2026</w:t>
      </w:r>
    </w:p>
    <w:p>
      <w:r>
        <w:t>Purpose: This fictional handbook is designed as a controlled knowledge base for RAG retrieval and evaluation testing. All names, limits, fees, and policies are synthetic.</w:t>
      </w:r>
    </w:p>
    <w:p>
      <w:r>
        <w:t>Important: This is test data, not a real banking policy.</w:t>
      </w:r>
    </w:p>
    <w:p>
      <w:r>
        <w:br w:type="page"/>
      </w:r>
    </w:p>
    <w:p>
      <w:pPr>
        <w:pStyle w:val="Heading1"/>
      </w:pPr>
      <w:r>
        <w:t>1. Customer Access and User Management</w:t>
      </w:r>
    </w:p>
    <w:p>
      <w:r>
        <w:t>Northstar Digital Bank's business online banking platform, Northstar Business Online (NBO), supports administrator-managed access for commercial customers.</w:t>
      </w:r>
    </w:p>
    <w:p>
      <w:pPr>
        <w:pStyle w:val="Heading1"/>
      </w:pPr>
      <w:r>
        <w:t>1.1 User roles</w:t>
      </w:r>
    </w:p>
    <w:p>
      <w:pPr>
        <w:pStyle w:val="ListBullet"/>
      </w:pPr>
      <w:r>
        <w:t>Primary Administrator: The first authorized administrator created for a business profile. The Primary Administrator can create users, create groups, assign services, and approve eligible administration changes.</w:t>
      </w:r>
    </w:p>
    <w:p>
      <w:pPr>
        <w:pStyle w:val="ListBullet"/>
      </w:pPr>
      <w:r>
        <w:t>Administrator: An authorized administrator who can manage users and groups according to permissions assigned by the business.</w:t>
      </w:r>
    </w:p>
    <w:p>
      <w:pPr>
        <w:pStyle w:val="ListBullet"/>
      </w:pPr>
      <w:r>
        <w:t>User: An employee or representative who can access assigned services and accounts. A user cannot create another user unless administration privileges are explicitly assigned.</w:t>
      </w:r>
    </w:p>
    <w:p>
      <w:pPr>
        <w:pStyle w:val="ListBullet"/>
      </w:pPr>
      <w:r>
        <w:t>Viewer: A user with read-only access to permitted accounts and reports. Viewers cannot initiate or approve payments.</w:t>
      </w:r>
    </w:p>
    <w:p>
      <w:pPr>
        <w:pStyle w:val="Heading1"/>
      </w:pPr>
      <w:r>
        <w:t>1.2 User creation</w:t>
      </w:r>
    </w:p>
    <w:p>
      <w:r>
        <w:t>To create a user, an administrator enters the user's legal name, business email address, mobile phone number, and employee identifier. The administrator assigns one or more groups and selects the accounts available to the user. The user receives an activation email that expires after 24 hours. If the link expires, an administrator can issue a new activation email.</w:t>
      </w:r>
    </w:p>
    <w:p>
      <w:pPr>
        <w:pStyle w:val="Heading1"/>
      </w:pPr>
      <w:r>
        <w:t>1.3 Group management</w:t>
      </w:r>
    </w:p>
    <w:p>
      <w:r>
        <w:t>Groups are reusable permission sets. A group can contain account access, services, transaction limits, and approval permissions. Changes to a group apply to all users assigned to that group after the next successful sign-in. A user may belong to multiple groups; the most permissive account access and service entitlement is applied when permissions overlap.</w:t>
      </w:r>
    </w:p>
    <w:p>
      <w:r>
        <w:br w:type="page"/>
      </w:r>
    </w:p>
    <w:p>
      <w:pPr>
        <w:pStyle w:val="Heading1"/>
      </w:pPr>
      <w:r>
        <w:t>2. Accounts, Services, and Transaction Limits</w:t>
      </w:r>
    </w:p>
    <w:p>
      <w:pPr>
        <w:pStyle w:val="Heading1"/>
      </w:pPr>
      <w:r>
        <w:t>2.1 Supported account types</w:t>
      </w:r>
    </w:p>
    <w:p>
      <w:pPr>
        <w:pStyle w:val="ListBullet"/>
      </w:pPr>
      <w:r>
        <w:t>CAD Chequing: Day-to-day Canadian-dollar operating account.</w:t>
      </w:r>
    </w:p>
    <w:p>
      <w:pPr>
        <w:pStyle w:val="ListBullet"/>
      </w:pPr>
      <w:r>
        <w:t>USD Operating: U.S.-dollar operating account for eligible commercial customers.</w:t>
      </w:r>
    </w:p>
    <w:p>
      <w:pPr>
        <w:pStyle w:val="ListBullet"/>
      </w:pPr>
      <w:r>
        <w:t>CAD Savings: Canadian-dollar savings account intended for reserve funds.</w:t>
      </w:r>
    </w:p>
    <w:p>
      <w:pPr>
        <w:pStyle w:val="ListBullet"/>
      </w:pPr>
      <w:r>
        <w:t>CAD Money Market: Interest-bearing account intended for short-term liquidity management.</w:t>
      </w:r>
    </w:p>
    <w:p>
      <w:pPr>
        <w:pStyle w:val="Heading1"/>
      </w:pPr>
      <w:r>
        <w:t>2.2 Services</w:t>
      </w:r>
    </w:p>
    <w:p>
      <w:pPr>
        <w:pStyle w:val="ListBullet"/>
      </w:pPr>
      <w:r>
        <w:t>Internal Transfer: Transfers between eligible Northstar accounts belonging to the same business profile.</w:t>
      </w:r>
    </w:p>
    <w:p>
      <w:pPr>
        <w:pStyle w:val="ListBullet"/>
      </w:pPr>
      <w:r>
        <w:t>Interac Business Transfer: Electronic transfer to an eligible Canadian recipient using supported recipient information.</w:t>
      </w:r>
    </w:p>
    <w:p>
      <w:pPr>
        <w:pStyle w:val="ListBullet"/>
      </w:pPr>
      <w:r>
        <w:t>EFT: Electronic Funds Transfer used for eligible Canadian business disbursements and collections.</w:t>
      </w:r>
    </w:p>
    <w:p>
      <w:pPr>
        <w:pStyle w:val="ListBullet"/>
      </w:pPr>
      <w:r>
        <w:t>Wire Payment: Domestic or international payment routed through the wire network.</w:t>
      </w:r>
    </w:p>
    <w:p>
      <w:pPr>
        <w:pStyle w:val="ListBullet"/>
      </w:pPr>
      <w:r>
        <w:t>Transaction Reports: Search, export, and scheduled reporting for permitted accounts.</w:t>
      </w:r>
    </w:p>
    <w:p>
      <w:pPr>
        <w:pStyle w:val="Heading1"/>
      </w:pPr>
      <w:r>
        <w:t>2.3 Daily limits</w:t>
      </w:r>
    </w:p>
    <w:p>
      <w:r>
        <w:t>Unless a business-specific limit has been approved, the standard daily limits are:</w:t>
      </w:r>
    </w:p>
    <w:p>
      <w:pPr>
        <w:pStyle w:val="ListBullet"/>
      </w:pPr>
      <w:r>
        <w:t>Internal Transfer: CAD 250,000 per business day.</w:t>
      </w:r>
    </w:p>
    <w:p>
      <w:pPr>
        <w:pStyle w:val="ListBullet"/>
      </w:pPr>
      <w:r>
        <w:t>Interac Business Transfer: CAD 25,000 per business day.</w:t>
      </w:r>
    </w:p>
    <w:p>
      <w:pPr>
        <w:pStyle w:val="ListBullet"/>
      </w:pPr>
      <w:r>
        <w:t>EFT: CAD 100,000 per business day.</w:t>
      </w:r>
    </w:p>
    <w:p>
      <w:pPr>
        <w:pStyle w:val="ListBullet"/>
      </w:pPr>
      <w:r>
        <w:t>Domestic Wire: CAD 150,000 per business day.</w:t>
      </w:r>
    </w:p>
    <w:p>
      <w:pPr>
        <w:pStyle w:val="ListBullet"/>
      </w:pPr>
      <w:r>
        <w:t>International Wire: CAD 100,000 equivalent per business day.</w:t>
      </w:r>
    </w:p>
    <w:p>
      <w:r>
        <w:t>Daily limits are calculated separately by service. A business can therefore initiate transactions across multiple services on the same day, subject to each service's limit and any account-level controls.</w:t>
      </w:r>
    </w:p>
    <w:p>
      <w:r>
        <w:br w:type="page"/>
      </w:r>
    </w:p>
    <w:p>
      <w:pPr>
        <w:pStyle w:val="Heading1"/>
      </w:pPr>
      <w:r>
        <w:t>3. Payment Approval and Dual Control</w:t>
      </w:r>
    </w:p>
    <w:p>
      <w:pPr>
        <w:pStyle w:val="Heading1"/>
      </w:pPr>
      <w:r>
        <w:t>3.1 Approval models</w:t>
      </w:r>
    </w:p>
    <w:p>
      <w:r>
        <w:t>NBO supports Single Approval and Dual Approval. Under Single Approval, one authorized user can create and approve an eligible payment. Under Dual Approval, the creator and approver must be two different users. A user cannot approve a payment they created when Dual Approval is enabled.</w:t>
      </w:r>
    </w:p>
    <w:p>
      <w:pPr>
        <w:pStyle w:val="Heading1"/>
      </w:pPr>
      <w:r>
        <w:t>3.2 Approval thresholds</w:t>
      </w:r>
    </w:p>
    <w:p>
      <w:pPr>
        <w:pStyle w:val="ListBullet"/>
      </w:pPr>
      <w:r>
        <w:t>Payments up to and including CAD 10,000 can be approved by one eligible approver when Single Approval is configured.</w:t>
      </w:r>
    </w:p>
    <w:p>
      <w:pPr>
        <w:pStyle w:val="ListBullet"/>
      </w:pPr>
      <w:r>
        <w:t>Payments above CAD 10,000 require Dual Approval when the business's approval policy uses threshold-based control.</w:t>
      </w:r>
    </w:p>
    <w:p>
      <w:pPr>
        <w:pStyle w:val="ListBullet"/>
      </w:pPr>
      <w:r>
        <w:t>A business may configure a stricter threshold, such as CAD 5,000, but cannot configure a threshold above CAD 10,000 for payments subject to the standard threshold policy.</w:t>
      </w:r>
    </w:p>
    <w:p>
      <w:pPr>
        <w:pStyle w:val="ListBullet"/>
      </w:pPr>
      <w:r>
        <w:t>International wires always require Dual Approval regardless of amount.</w:t>
      </w:r>
    </w:p>
    <w:p>
      <w:pPr>
        <w:pStyle w:val="Heading1"/>
      </w:pPr>
      <w:r>
        <w:t>3.3 Pending approvals</w:t>
      </w:r>
    </w:p>
    <w:p>
      <w:r>
        <w:t>A payment awaiting approval remains in Pending Approval status. If the payment is rejected, its status changes to Rejected and the creator can edit and resubmit it. If an approver does not act before the payment's processing cutoff, the payment remains pending and moves to the next eligible processing window.</w:t>
      </w:r>
    </w:p>
    <w:p>
      <w:r>
        <w:br w:type="page"/>
      </w:r>
    </w:p>
    <w:p>
      <w:pPr>
        <w:pStyle w:val="Heading1"/>
      </w:pPr>
      <w:r>
        <w:t>4. Interac Business Transfers</w:t>
      </w:r>
    </w:p>
    <w:p>
      <w:pPr>
        <w:pStyle w:val="Heading1"/>
      </w:pPr>
      <w:r>
        <w:t>4.1 Eligibility</w:t>
      </w:r>
    </w:p>
    <w:p>
      <w:r>
        <w:t>Interac Business Transfer supports transfers to eligible Canadian recipients. The sender must have the service enabled and sufficient available funds. The standard daily sending limit is CAD 25,000.</w:t>
      </w:r>
    </w:p>
    <w:p>
      <w:pPr>
        <w:pStyle w:val="Heading1"/>
      </w:pPr>
      <w:r>
        <w:t>4.2 Processing</w:t>
      </w:r>
    </w:p>
    <w:p>
      <w:r>
        <w:t>A sender enters the recipient, amount, and optional message, then submits the transfer. If Dual Approval is required, the transfer enters Pending Approval before processing. Once approved, the transfer is submitted to the external payment service. The recipient may be required to complete the receiving institution's authentication or deposit process.</w:t>
      </w:r>
    </w:p>
    <w:p>
      <w:pPr>
        <w:pStyle w:val="Heading1"/>
      </w:pPr>
      <w:r>
        <w:t>4.3 Cancellation</w:t>
      </w:r>
    </w:p>
    <w:p>
      <w:r>
        <w:t>A transfer can be cancelled only while it is in Draft or Pending Approval. Once it has been released for processing, cancellation is not guaranteed and the sender must use the applicable recovery process.</w:t>
      </w:r>
    </w:p>
    <w:p>
      <w:pPr>
        <w:pStyle w:val="Heading1"/>
      </w:pPr>
      <w:r>
        <w:t>4.4 Fees</w:t>
      </w:r>
    </w:p>
    <w:p>
      <w:r>
        <w:t>Northstar charges CAD 1.50 per completed Interac Business Transfer. No fee is charged when a transfer is cancelled while still in Draft or Pending Approval.</w:t>
      </w:r>
    </w:p>
    <w:p>
      <w:r>
        <w:br w:type="page"/>
      </w:r>
    </w:p>
    <w:p>
      <w:pPr>
        <w:pStyle w:val="Heading1"/>
      </w:pPr>
      <w:r>
        <w:t>5. EFT Processing</w:t>
      </w:r>
    </w:p>
    <w:p>
      <w:pPr>
        <w:pStyle w:val="Heading1"/>
      </w:pPr>
      <w:r>
        <w:t>5.1 EFT types</w:t>
      </w:r>
    </w:p>
    <w:p>
      <w:pPr>
        <w:pStyle w:val="ListBullet"/>
      </w:pPr>
      <w:r>
        <w:t>EFT Credit: Funds are sent to a recipient account.</w:t>
      </w:r>
    </w:p>
    <w:p>
      <w:pPr>
        <w:pStyle w:val="ListBullet"/>
      </w:pPr>
      <w:r>
        <w:t>EFT Debit: Funds are collected from an authorized account under an eligible agreement.</w:t>
      </w:r>
    </w:p>
    <w:p>
      <w:pPr>
        <w:pStyle w:val="ListBullet"/>
      </w:pPr>
      <w:r>
        <w:t>EFT Return: A previously submitted EFT is returned by the receiving or originating financial institution.</w:t>
      </w:r>
    </w:p>
    <w:p>
      <w:pPr>
        <w:pStyle w:val="Heading1"/>
      </w:pPr>
      <w:r>
        <w:t>5.2 Cutoffs and settlement</w:t>
      </w:r>
    </w:p>
    <w:p>
      <w:r>
        <w:t>EFT files submitted before 6:00 PM Eastern Time on a business day enter the same-day processing cycle. Files submitted after 6:00 PM Eastern Time enter the next business-day cycle. Standard EFT settlement is two business days after the processing date.</w:t>
      </w:r>
    </w:p>
    <w:p>
      <w:pPr>
        <w:pStyle w:val="Heading1"/>
      </w:pPr>
      <w:r>
        <w:t>5.3 Limits and fees</w:t>
      </w:r>
    </w:p>
    <w:p>
      <w:r>
        <w:t>The standard EFT daily limit is CAD 100,000. Northstar charges CAD 0.35 per EFT item for standard business EFT processing. A returned EFT is charged an additional CAD 15 return fee.</w:t>
      </w:r>
    </w:p>
    <w:p>
      <w:pPr>
        <w:pStyle w:val="Heading1"/>
      </w:pPr>
      <w:r>
        <w:t>5.4 Example</w:t>
      </w:r>
    </w:p>
    <w:p>
      <w:r>
        <w:t>If a customer submits an EFT file at 5:45 PM Eastern Time on Monday and Monday is a business day, it enters Monday's processing cycle and standard settlement occurs two business days later, on Wednesday. If the same file is submitted at 6:15 PM Monday, it enters Tuesday's processing cycle and standard settlement occurs Thursday.</w:t>
      </w:r>
    </w:p>
    <w:p>
      <w:r>
        <w:br w:type="page"/>
      </w:r>
    </w:p>
    <w:p>
      <w:pPr>
        <w:pStyle w:val="Heading1"/>
      </w:pPr>
      <w:r>
        <w:t>6. Wire Payments</w:t>
      </w:r>
    </w:p>
    <w:p>
      <w:pPr>
        <w:pStyle w:val="Heading1"/>
      </w:pPr>
      <w:r>
        <w:t>6.1 Domestic wires</w:t>
      </w:r>
    </w:p>
    <w:p>
      <w:r>
        <w:t>Domestic wires are CAD payments to eligible Canadian financial institutions. The standard daily limit is CAD 150,000. Domestic wires submitted after 4:00 PM Eastern Time move to the next business-day processing window.</w:t>
      </w:r>
    </w:p>
    <w:p>
      <w:pPr>
        <w:pStyle w:val="Heading1"/>
      </w:pPr>
      <w:r>
        <w:t>6.2 International wires</w:t>
      </w:r>
    </w:p>
    <w:p>
      <w:r>
        <w:t>International wires may be sent in CAD or supported foreign currencies. The standard daily limit is CAD 100,000 equivalent. Every international wire requires Dual Approval. International wires may be subject to intermediary-bank fees and foreign-exchange conversion.</w:t>
      </w:r>
    </w:p>
    <w:p>
      <w:pPr>
        <w:pStyle w:val="Heading1"/>
      </w:pPr>
      <w:r>
        <w:t>6.3 FX conversion</w:t>
      </w:r>
    </w:p>
    <w:p>
      <w:r>
        <w:t>For a foreign-currency wire, the applicable exchange rate is determined at processing time. The final CAD equivalent used for daily-limit monitoring is based on the processing-time rate, not the rate displayed when the payment was created.</w:t>
      </w:r>
    </w:p>
    <w:p>
      <w:pPr>
        <w:pStyle w:val="Heading1"/>
      </w:pPr>
      <w:r>
        <w:t>6.4 Wire status</w:t>
      </w:r>
    </w:p>
    <w:p>
      <w:pPr>
        <w:pStyle w:val="ListBullet"/>
      </w:pPr>
      <w:r>
        <w:t>Draft: Created but not submitted.</w:t>
      </w:r>
    </w:p>
    <w:p>
      <w:pPr>
        <w:pStyle w:val="ListBullet"/>
      </w:pPr>
      <w:r>
        <w:t>Pending Approval: Submitted and awaiting required approval.</w:t>
      </w:r>
    </w:p>
    <w:p>
      <w:pPr>
        <w:pStyle w:val="ListBullet"/>
      </w:pPr>
      <w:r>
        <w:t>Released: Approved and released for processing.</w:t>
      </w:r>
    </w:p>
    <w:p>
      <w:pPr>
        <w:pStyle w:val="ListBullet"/>
      </w:pPr>
      <w:r>
        <w:t>Processing: Being processed by the payment network.</w:t>
      </w:r>
    </w:p>
    <w:p>
      <w:pPr>
        <w:pStyle w:val="ListBullet"/>
      </w:pPr>
      <w:r>
        <w:t>Completed: Processing completed successfully.</w:t>
      </w:r>
    </w:p>
    <w:p>
      <w:pPr>
        <w:pStyle w:val="ListBullet"/>
      </w:pPr>
      <w:r>
        <w:t>Rejected: Payment rejected before completion.</w:t>
      </w:r>
    </w:p>
    <w:p>
      <w:r>
        <w:br w:type="page"/>
      </w:r>
    </w:p>
    <w:p>
      <w:pPr>
        <w:pStyle w:val="Heading1"/>
      </w:pPr>
      <w:r>
        <w:t>7. Transaction Reports and Audit History</w:t>
      </w:r>
    </w:p>
    <w:p>
      <w:pPr>
        <w:pStyle w:val="Heading1"/>
      </w:pPr>
      <w:r>
        <w:t>7.1 Reports</w:t>
      </w:r>
    </w:p>
    <w:p>
      <w:r>
        <w:t>Users with Transaction Reports permission can search transactions by account, date range, amount, transaction type, status, and currency. Reports can be exported as CSV or PDF.</w:t>
      </w:r>
    </w:p>
    <w:p>
      <w:pPr>
        <w:pStyle w:val="Heading1"/>
      </w:pPr>
      <w:r>
        <w:t>7.2 Retention</w:t>
      </w:r>
    </w:p>
    <w:p>
      <w:r>
        <w:t>Online transaction history is available for 24 months. Monthly statement archives are retained for seven years. Audit records for user administration, permission changes, payment approval, and payment release are retained for seven years.</w:t>
      </w:r>
    </w:p>
    <w:p>
      <w:pPr>
        <w:pStyle w:val="Heading1"/>
      </w:pPr>
      <w:r>
        <w:t>7.3 Audit events</w:t>
      </w:r>
    </w:p>
    <w:p>
      <w:pPr>
        <w:pStyle w:val="ListBullet"/>
      </w:pPr>
      <w:r>
        <w:t>User created, modified, disabled, or reactivated.</w:t>
      </w:r>
    </w:p>
    <w:p>
      <w:pPr>
        <w:pStyle w:val="ListBullet"/>
      </w:pPr>
      <w:r>
        <w:t>Group created or permission changed.</w:t>
      </w:r>
    </w:p>
    <w:p>
      <w:pPr>
        <w:pStyle w:val="ListBullet"/>
      </w:pPr>
      <w:r>
        <w:t>Payment created, edited, approved, rejected, or released.</w:t>
      </w:r>
    </w:p>
    <w:p>
      <w:pPr>
        <w:pStyle w:val="ListBullet"/>
      </w:pPr>
      <w:r>
        <w:t>Transaction limit changed.</w:t>
      </w:r>
    </w:p>
    <w:p>
      <w:pPr>
        <w:pStyle w:val="ListBullet"/>
      </w:pPr>
      <w:r>
        <w:t>Authentication or security setting changed.</w:t>
      </w:r>
    </w:p>
    <w:p>
      <w:r>
        <w:t>Audit records include event timestamp, user identifier, event type, and the affected object identifier. Audit records cannot be edited by business users.</w:t>
      </w:r>
    </w:p>
    <w:p>
      <w:r>
        <w:br w:type="page"/>
      </w:r>
    </w:p>
    <w:p>
      <w:pPr>
        <w:pStyle w:val="Heading1"/>
      </w:pPr>
      <w:r>
        <w:t>8. Security and Authentication</w:t>
      </w:r>
    </w:p>
    <w:p>
      <w:pPr>
        <w:pStyle w:val="Heading1"/>
      </w:pPr>
      <w:r>
        <w:t>8.1 Multi-factor authentication</w:t>
      </w:r>
    </w:p>
    <w:p>
      <w:r>
        <w:t>All NBO users must use multi-factor authentication (MFA). Supported methods are authenticator application codes and SMS one-time passcodes. Security administrators may require authenticator-app MFA for selected users or groups.</w:t>
      </w:r>
    </w:p>
    <w:p>
      <w:pPr>
        <w:pStyle w:val="Heading1"/>
      </w:pPr>
      <w:r>
        <w:t>8.2 Session controls</w:t>
      </w:r>
    </w:p>
    <w:p>
      <w:pPr>
        <w:pStyle w:val="ListBullet"/>
      </w:pPr>
      <w:r>
        <w:t>The standard inactivity timeout is 15 minutes.</w:t>
      </w:r>
    </w:p>
    <w:p>
      <w:pPr>
        <w:pStyle w:val="ListBullet"/>
      </w:pPr>
      <w:r>
        <w:t>After 5 consecutive failed sign-in attempts, the user is temporarily locked for 15 minutes.</w:t>
      </w:r>
    </w:p>
    <w:p>
      <w:pPr>
        <w:pStyle w:val="ListBullet"/>
      </w:pPr>
      <w:r>
        <w:t>A successful sign-in resets the failed-attempt counter.</w:t>
      </w:r>
    </w:p>
    <w:p>
      <w:pPr>
        <w:pStyle w:val="ListBullet"/>
      </w:pPr>
      <w:r>
        <w:t>Administrators can disable a user immediately; disabling a user terminates active NBO sessions within five minutes.</w:t>
      </w:r>
    </w:p>
    <w:p>
      <w:pPr>
        <w:pStyle w:val="Heading1"/>
      </w:pPr>
      <w:r>
        <w:t>8.3 Password reset</w:t>
      </w:r>
    </w:p>
    <w:p>
      <w:r>
        <w:t>A user who forgets a password can use the password-reset workflow after successful identity verification. Reset links expire after 30 minutes and can be used once. A user must create a password that is at least 12 characters long and contains at least one uppercase letter, one lowercase letter, one number, and one special character.</w:t>
      </w:r>
    </w:p>
    <w:p>
      <w:r>
        <w:br w:type="page"/>
      </w:r>
    </w:p>
    <w:p>
      <w:pPr>
        <w:pStyle w:val="Heading1"/>
      </w:pPr>
      <w:r>
        <w:t>9. Exceptions and Operational Rules</w:t>
      </w:r>
    </w:p>
    <w:p>
      <w:pPr>
        <w:pStyle w:val="Heading1"/>
      </w:pPr>
      <w:r>
        <w:t>9.1 Business days</w:t>
      </w:r>
    </w:p>
    <w:p>
      <w:r>
        <w:t>For this handbook, a business day means Monday through Friday excluding Northstar-observed Canadian banking holidays. Cutoff times are interpreted in Eastern Time.</w:t>
      </w:r>
    </w:p>
    <w:p>
      <w:pPr>
        <w:pStyle w:val="Heading1"/>
      </w:pPr>
      <w:r>
        <w:t>9.2 Insufficient funds</w:t>
      </w:r>
    </w:p>
    <w:p>
      <w:r>
        <w:t>If available funds are insufficient at release time, a payment is not released. The payment moves to Exception status and the user receives an alert. Adding funds does not automatically release the payment; the user must resolve the exception and resubmit if required.</w:t>
      </w:r>
    </w:p>
    <w:p>
      <w:pPr>
        <w:pStyle w:val="Heading1"/>
      </w:pPr>
      <w:r>
        <w:t>9.3 Limit exceptions</w:t>
      </w:r>
    </w:p>
    <w:p>
      <w:r>
        <w:t>A business may request a temporary increase to an applicable daily limit. Approval is subject to risk review and may be granted for a defined date range. A temporary limit increase does not change the standard limit for future dates.</w:t>
      </w:r>
    </w:p>
    <w:p>
      <w:pPr>
        <w:pStyle w:val="Heading1"/>
      </w:pPr>
      <w:r>
        <w:t>9.4 Service outage</w:t>
      </w:r>
    </w:p>
    <w:p>
      <w:r>
        <w:t>If NBO is unavailable, users should retry after service restoration. A payment that was successfully submitted before an outage should not be submitted again until its status is confirmed, to avoid duplicate payment.</w:t>
      </w:r>
    </w:p>
    <w:p>
      <w:r>
        <w:br w:type="page"/>
      </w:r>
    </w:p>
    <w:p>
      <w:pPr>
        <w:pStyle w:val="Heading1"/>
      </w:pPr>
      <w:r>
        <w:t>10. Support, SLAs, and Contact Rules</w:t>
      </w:r>
    </w:p>
    <w:p>
      <w:pPr>
        <w:pStyle w:val="Heading1"/>
      </w:pPr>
      <w:r>
        <w:t>10.1 Support channels</w:t>
      </w:r>
    </w:p>
    <w:p>
      <w:pPr>
        <w:pStyle w:val="ListBullet"/>
      </w:pPr>
      <w:r>
        <w:t>Online banking support: available 24 hours a day, seven days a week for login and platform access issues.</w:t>
      </w:r>
    </w:p>
    <w:p>
      <w:pPr>
        <w:pStyle w:val="ListBullet"/>
      </w:pPr>
      <w:r>
        <w:t>Payment operations support: Monday through Friday, 8:00 AM to 6:00 PM Eastern Time.</w:t>
      </w:r>
    </w:p>
    <w:p>
      <w:pPr>
        <w:pStyle w:val="ListBullet"/>
      </w:pPr>
      <w:r>
        <w:t>Urgent payment investigation: Monday through Friday, 8:00 AM to 8:00 PM Eastern Time.</w:t>
      </w:r>
    </w:p>
    <w:p>
      <w:pPr>
        <w:pStyle w:val="Heading1"/>
      </w:pPr>
      <w:r>
        <w:t>10.2 Service targets</w:t>
      </w:r>
    </w:p>
    <w:p>
      <w:pPr>
        <w:pStyle w:val="ListBullet"/>
      </w:pPr>
      <w:r>
        <w:t>Access issue acknowledgment: within 30 minutes during support hours.</w:t>
      </w:r>
    </w:p>
    <w:p>
      <w:pPr>
        <w:pStyle w:val="ListBullet"/>
      </w:pPr>
      <w:r>
        <w:t>Payment investigation acknowledgment: within 2 business hours.</w:t>
      </w:r>
    </w:p>
    <w:p>
      <w:pPr>
        <w:pStyle w:val="ListBullet"/>
      </w:pPr>
      <w:r>
        <w:t>Confirmed duplicate-payment investigation: within 1 business hour.</w:t>
      </w:r>
    </w:p>
    <w:p>
      <w:pPr>
        <w:pStyle w:val="ListBullet"/>
      </w:pPr>
      <w:r>
        <w:t>User administration request processing: within 4 business hours.</w:t>
      </w:r>
    </w:p>
    <w:p>
      <w:pPr>
        <w:pStyle w:val="Heading1"/>
      </w:pPr>
      <w:r>
        <w:t>10.3 Escalation</w:t>
      </w:r>
    </w:p>
    <w:p>
      <w:r>
        <w:t>A payment operations case can be escalated when the payment is time-sensitive, has a suspected duplicate, or has remained unresolved beyond the stated acknowledgment target. Escalation does not guarantee completion by a payment cutoff.</w:t>
      </w:r>
    </w:p>
    <w:p>
      <w:r>
        <w:br w:type="page"/>
      </w:r>
    </w:p>
    <w:p>
      <w:pPr>
        <w:pStyle w:val="Heading1"/>
      </w:pPr>
      <w:r>
        <w:t>11. Evaluation Notes for RAG Testing</w:t>
      </w:r>
    </w:p>
    <w:p>
      <w:r>
        <w:t>This corpus intentionally contains facts that can be tested independently and in combination. It includes numerical limits, cutoff times, role permissions, exception rules, multi-step procedures, comparisons, and cross-section dependencies.</w:t>
      </w:r>
    </w:p>
    <w:p>
      <w:pPr>
        <w:pStyle w:val="ListBullet"/>
      </w:pPr>
      <w:r>
        <w:t>Factual questions should test exact values and definitions.</w:t>
      </w:r>
    </w:p>
    <w:p>
      <w:pPr>
        <w:pStyle w:val="ListBullet"/>
      </w:pPr>
      <w:r>
        <w:t>Procedural questions should test ordered steps and conditions.</w:t>
      </w:r>
    </w:p>
    <w:p>
      <w:pPr>
        <w:pStyle w:val="ListBullet"/>
      </w:pPr>
      <w:r>
        <w:t>Multi-hop questions should require facts from more than one section.</w:t>
      </w:r>
    </w:p>
    <w:p>
      <w:pPr>
        <w:pStyle w:val="ListBullet"/>
      </w:pPr>
      <w:r>
        <w:t>Comparison questions should distinguish services with similar concepts but different limits or cutoffs.</w:t>
      </w:r>
    </w:p>
    <w:p>
      <w:pPr>
        <w:pStyle w:val="ListBullet"/>
      </w:pPr>
      <w:r>
        <w:t>Exception questions should test whether the model applies special rules rather than generic rules.</w:t>
      </w:r>
    </w:p>
    <w:p>
      <w:pPr>
        <w:pStyle w:val="ListBullet"/>
      </w:pPr>
      <w:r>
        <w:t>Out-of-corpus questions should not be answerable from this document.</w:t>
      </w:r>
    </w:p>
    <w:p>
      <w:pPr>
        <w:pStyle w:val="ListBullet"/>
      </w:pPr>
      <w:r>
        <w:t>Critical questions should be evaluated for exactness because incorrect financial limits or approval rules are high-impact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