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0B3768"/>
          <w:sz w:val="56"/>
        </w:rPr>
        <w:t>PRACTICAL SAP EVENT MESH GUIDE</w:t>
      </w:r>
    </w:p>
    <w:p>
      <w:pPr>
        <w:jc w:val="center"/>
      </w:pPr>
      <w:r>
        <w:rPr>
          <w:b/>
          <w:color w:val="087E8B"/>
          <w:sz w:val="40"/>
        </w:rPr>
        <w:t>For SAP ABAP Developers</w:t>
      </w:r>
    </w:p>
    <w:p>
      <w:pPr>
        <w:spacing w:before="400"/>
        <w:jc w:val="center"/>
      </w:pPr>
      <w:r>
        <w:rPr>
          <w:color w:val="3C4650"/>
          <w:sz w:val="22"/>
        </w:rPr>
        <w:t>ABAP • RAP Business Events • Enterprise Event Enablement • Monitoring • Troubleshooting • Production Support</w:t>
      </w:r>
    </w:p>
    <w:p>
      <w:pPr>
        <w:spacing w:before="3200"/>
        <w:jc w:val="center"/>
      </w:pPr>
      <w:r>
        <w:rPr>
          <w:sz w:val="22"/>
        </w:rPr>
        <w:t>Prepared for Samim Akther</w:t>
        <w:br/>
        <w:t>September 2026 | English (United States)</w:t>
      </w:r>
    </w:p>
    <w:p>
      <w:r>
        <w:br w:type="page"/>
      </w:r>
    </w:p>
    <w:p>
      <w:pPr>
        <w:pStyle w:val="Heading1"/>
      </w:pPr>
      <w:r>
        <w:t>Table of Contents</w:t>
      </w:r>
    </w:p>
    <w:p>
      <w:r>
        <w:t>Update this field in Microsoft Word if page numbers do not refresh automatically: right-click the table and select Update Field.</w:t>
      </w:r>
    </w:p>
    <w:p>
      <w:r>
        <w:fldChar w:fldCharType="begin"/>
        <w:instrText xml:space="preserve">TOC \o "1-3" \h \z \u</w:instrText>
        <w:fldChar w:fldCharType="separate">
          <w:t>Table of Contents</w:t>
        </w:fldChar>
        <w:fldChar w:fldCharType="end"/>
      </w:r>
    </w:p>
    <w:p>
      <w:r>
        <w:br w:type="page"/>
      </w:r>
    </w:p>
    <w:p>
      <w:pPr>
        <w:pStyle w:val="Heading1"/>
      </w:pPr>
      <w:r>
        <w:t>Practical SAP Event Mesh Guide for an SAP ABAP Developer</w:t>
      </w:r>
    </w:p>
    <w:p>
      <w:r>
        <w:t>Scope note — September 2026: SAP features differ by S/4HANA release, deployment model, licensed BTP plan, and activated business scope. Therefore, always verify the exact event in SAP Business Accelerator Hub, your release-specific SAP Help, and your system’s event-topic value help before development.</w:t>
      </w:r>
    </w:p>
    <w:p>
      <w:r>
        <w:t>Based on your SAP ABAP, interface, proxy, IDoc, CDS, and S/4HANA experience, think of Event Mesh as the next step from “send this message to System B” toward “announce that something happened, and let interested systems react.”</w:t>
      </w:r>
    </w:p>
    <w:p>
      <w:pPr>
        <w:pStyle w:val="Heading1"/>
      </w:pPr>
      <w:r>
        <w:t>1. Event Mesh for an ABAP Developer</w:t>
      </w:r>
    </w:p>
    <w:p>
      <w:pPr>
        <w:pStyle w:val="Heading2"/>
      </w:pPr>
      <w:r>
        <w:t>Why you need it</w:t>
      </w:r>
    </w:p>
    <w:p>
      <w:r>
        <w:t>An ABAP developer participates when SAP is:</w:t>
      </w:r>
    </w:p>
    <w:p>
      <w:pPr>
        <w:pStyle w:val="ListBullet"/>
      </w:pPr>
      <w:r>
        <w:t>producing a standard S/4HANA business event;</w:t>
      </w:r>
    </w:p>
    <w:p>
      <w:pPr>
        <w:pStyle w:val="ListBullet"/>
      </w:pPr>
      <w:r>
        <w:t>producing a custom RAP Business Event;</w:t>
      </w:r>
    </w:p>
    <w:p>
      <w:pPr>
        <w:pStyle w:val="ListBullet"/>
      </w:pPr>
      <w:r>
        <w:t>consuming an external event in ABAP;</w:t>
      </w:r>
    </w:p>
    <w:p>
      <w:pPr>
        <w:pStyle w:val="ListBullet"/>
      </w:pPr>
      <w:r>
        <w:t>exposing an API that an event consumer calls;</w:t>
      </w:r>
    </w:p>
    <w:p>
      <w:pPr>
        <w:pStyle w:val="ListBullet"/>
      </w:pPr>
      <w:r>
        <w:t>troubleshooting why an SAP transaction did not produce an event;</w:t>
      </w:r>
    </w:p>
    <w:p>
      <w:pPr>
        <w:pStyle w:val="ListBullet"/>
      </w:pPr>
      <w:r>
        <w:t>making consumer processing duplicate-safe.</w:t>
      </w:r>
    </w:p>
    <w:p>
      <w:r>
        <w:t>RAP business events represent important state changes in a RAP business object. They are raised asynchronously, normally during the late-save sequence after the database change reaches the point of no return.</w:t>
      </w:r>
    </w:p>
    <w:p>
      <w:pPr>
        <w:pStyle w:val="Heading2"/>
      </w:pPr>
      <w:r>
        <w:t>Responsibility matrix</w:t>
      </w:r>
    </w:p>
    <w:tbl>
      <w:tblPr>
        <w:tblStyle w:val="TableGrid"/>
        <w:tblW w:w="0" w:type="auto"/>
        <w:jc w:val="center"/>
        <w:tblLook w:val="04A0" w:firstRow="1" w:lastRow="0" w:firstColumn="1" w:lastColumn="0" w:noHBand="0" w:noVBand="1"/>
      </w:tblPr>
      <w:tblGrid>
        <w:gridCol w:w="2033"/>
        <w:gridCol w:w="2033"/>
        <w:gridCol w:w="2033"/>
        <w:gridCol w:w="2033"/>
        <w:gridCol w:w="2033"/>
      </w:tblGrid>
      <w:tr>
        <w:trPr>
          <w:trHeight w:hRule="atLeast"/>
          <w:tblHeader w:val="true"/>
        </w:trPr>
        <w:tc>
          <w:tcPr>
            <w:tcW w:w="2033" w:type="dxa"/>
            <w:shd w:fill="0B3768"/>
            <w:tcMar>
              <w:top w:w="80" w:type="dxa"/>
              <w:start w:w="100" w:type="dxa"/>
              <w:bottom w:w="80" w:type="dxa"/>
              <w:end w:w="100" w:type="dxa"/>
            </w:tcMar>
            <w:vAlign w:val="center"/>
          </w:tcPr>
          <w:p>
            <w:r>
              <w:rPr>
                <w:b/>
                <w:color w:val="FFFFFF"/>
                <w:sz w:val="17"/>
              </w:rPr>
              <w:t>Activity</w:t>
            </w:r>
          </w:p>
        </w:tc>
        <w:tc>
          <w:tcPr>
            <w:tcW w:w="2033" w:type="dxa"/>
            <w:shd w:fill="0B3768"/>
            <w:tcMar>
              <w:top w:w="80" w:type="dxa"/>
              <w:start w:w="100" w:type="dxa"/>
              <w:bottom w:w="80" w:type="dxa"/>
              <w:end w:w="100" w:type="dxa"/>
            </w:tcMar>
            <w:vAlign w:val="center"/>
          </w:tcPr>
          <w:p>
            <w:r>
              <w:rPr>
                <w:b/>
                <w:color w:val="FFFFFF"/>
                <w:sz w:val="17"/>
              </w:rPr>
              <w:t>ABAP developer</w:t>
            </w:r>
          </w:p>
        </w:tc>
        <w:tc>
          <w:tcPr>
            <w:tcW w:w="2033" w:type="dxa"/>
            <w:shd w:fill="0B3768"/>
            <w:tcMar>
              <w:top w:w="80" w:type="dxa"/>
              <w:start w:w="100" w:type="dxa"/>
              <w:bottom w:w="80" w:type="dxa"/>
              <w:end w:w="100" w:type="dxa"/>
            </w:tcMar>
            <w:vAlign w:val="center"/>
          </w:tcPr>
          <w:p>
            <w:r>
              <w:rPr>
                <w:b/>
                <w:color w:val="FFFFFF"/>
                <w:sz w:val="17"/>
              </w:rPr>
              <w:t>Integration developer</w:t>
            </w:r>
          </w:p>
        </w:tc>
        <w:tc>
          <w:tcPr>
            <w:tcW w:w="2033" w:type="dxa"/>
            <w:shd w:fill="0B3768"/>
            <w:tcMar>
              <w:top w:w="80" w:type="dxa"/>
              <w:start w:w="100" w:type="dxa"/>
              <w:bottom w:w="80" w:type="dxa"/>
              <w:end w:w="100" w:type="dxa"/>
            </w:tcMar>
            <w:vAlign w:val="center"/>
          </w:tcPr>
          <w:p>
            <w:r>
              <w:rPr>
                <w:b/>
                <w:color w:val="FFFFFF"/>
                <w:sz w:val="17"/>
              </w:rPr>
              <w:t>BTP/Event Mesh admin</w:t>
            </w:r>
          </w:p>
        </w:tc>
        <w:tc>
          <w:tcPr>
            <w:tcW w:w="2033" w:type="dxa"/>
            <w:shd w:fill="0B3768"/>
            <w:tcMar>
              <w:top w:w="80" w:type="dxa"/>
              <w:start w:w="100" w:type="dxa"/>
              <w:bottom w:w="80" w:type="dxa"/>
              <w:end w:w="100" w:type="dxa"/>
            </w:tcMar>
            <w:vAlign w:val="center"/>
          </w:tcPr>
          <w:p>
            <w:r>
              <w:rPr>
                <w:b/>
                <w:color w:val="FFFFFF"/>
                <w:sz w:val="17"/>
              </w:rPr>
              <w:t>Functional consultant</w:t>
            </w:r>
          </w:p>
        </w:tc>
      </w:tr>
      <w:tr>
        <w:trPr>
          <w:trHeight w:hRule="atLeast"/>
        </w:trPr>
        <w:tc>
          <w:tcPr>
            <w:tcW w:w="2033" w:type="dxa"/>
            <w:tcMar>
              <w:top w:w="80" w:type="dxa"/>
              <w:start w:w="100" w:type="dxa"/>
              <w:bottom w:w="80" w:type="dxa"/>
              <w:end w:w="100" w:type="dxa"/>
            </w:tcMar>
            <w:vAlign w:val="center"/>
          </w:tcPr>
          <w:p>
            <w:pPr>
              <w:spacing w:after="20"/>
            </w:pPr>
            <w:r>
              <w:rPr>
                <w:sz w:val="16"/>
              </w:rPr>
              <w:t>Identify business transaction</w:t>
            </w:r>
          </w:p>
        </w:tc>
        <w:tc>
          <w:tcPr>
            <w:tcW w:w="2033" w:type="dxa"/>
            <w:tcMar>
              <w:top w:w="80" w:type="dxa"/>
              <w:start w:w="100" w:type="dxa"/>
              <w:bottom w:w="80" w:type="dxa"/>
              <w:end w:w="100" w:type="dxa"/>
            </w:tcMar>
            <w:vAlign w:val="center"/>
          </w:tcPr>
          <w:p>
            <w:pPr>
              <w:spacing w:after="20"/>
            </w:pPr>
            <w:r>
              <w:rPr>
                <w:sz w:val="16"/>
              </w:rPr>
              <w:t>C</w:t>
            </w:r>
          </w:p>
        </w:tc>
        <w:tc>
          <w:tcPr>
            <w:tcW w:w="2033" w:type="dxa"/>
            <w:tcMar>
              <w:top w:w="80" w:type="dxa"/>
              <w:start w:w="100" w:type="dxa"/>
              <w:bottom w:w="80" w:type="dxa"/>
              <w:end w:w="100" w:type="dxa"/>
            </w:tcMar>
            <w:vAlign w:val="center"/>
          </w:tcPr>
          <w:p>
            <w:pPr>
              <w:spacing w:after="20"/>
            </w:pPr>
            <w:r>
              <w:rPr>
                <w:sz w:val="16"/>
              </w:rPr>
              <w:t>C</w:t>
            </w:r>
          </w:p>
        </w:tc>
        <w:tc>
          <w:tcPr>
            <w:tcW w:w="2033" w:type="dxa"/>
            <w:tcMar>
              <w:top w:w="80" w:type="dxa"/>
              <w:start w:w="100" w:type="dxa"/>
              <w:bottom w:w="80" w:type="dxa"/>
              <w:end w:w="100" w:type="dxa"/>
            </w:tcMar>
            <w:vAlign w:val="center"/>
          </w:tcPr>
          <w:p>
            <w:pPr>
              <w:spacing w:after="20"/>
            </w:pPr>
            <w:r>
              <w:rPr>
                <w:sz w:val="16"/>
              </w:rPr>
              <w:t>I</w:t>
            </w:r>
          </w:p>
        </w:tc>
        <w:tc>
          <w:tcPr>
            <w:tcW w:w="2033" w:type="dxa"/>
            <w:tcMar>
              <w:top w:w="80" w:type="dxa"/>
              <w:start w:w="100" w:type="dxa"/>
              <w:bottom w:w="80" w:type="dxa"/>
              <w:end w:w="100" w:type="dxa"/>
            </w:tcMar>
            <w:vAlign w:val="center"/>
          </w:tcPr>
          <w:p>
            <w:pPr>
              <w:spacing w:after="20"/>
            </w:pPr>
            <w:r>
              <w:rPr>
                <w:sz w:val="16"/>
              </w:rPr>
              <w:t>A/R</w:t>
            </w:r>
          </w:p>
        </w:tc>
      </w:tr>
      <w:tr>
        <w:trPr>
          <w:trHeight w:hRule="atLeast"/>
        </w:trPr>
        <w:tc>
          <w:tcPr>
            <w:tcW w:w="2033" w:type="dxa"/>
            <w:tcMar>
              <w:top w:w="80" w:type="dxa"/>
              <w:start w:w="100" w:type="dxa"/>
              <w:bottom w:w="80" w:type="dxa"/>
              <w:end w:w="100" w:type="dxa"/>
            </w:tcMar>
            <w:vAlign w:val="center"/>
            <w:shd w:fill="EAF4F7"/>
          </w:tcPr>
          <w:p>
            <w:pPr>
              <w:spacing w:after="20"/>
            </w:pPr>
            <w:r>
              <w:rPr>
                <w:sz w:val="16"/>
              </w:rPr>
              <w:t>Check standard business event</w:t>
            </w:r>
          </w:p>
        </w:tc>
        <w:tc>
          <w:tcPr>
            <w:tcW w:w="2033" w:type="dxa"/>
            <w:tcMar>
              <w:top w:w="80" w:type="dxa"/>
              <w:start w:w="100" w:type="dxa"/>
              <w:bottom w:w="80" w:type="dxa"/>
              <w:end w:w="100" w:type="dxa"/>
            </w:tcMar>
            <w:vAlign w:val="center"/>
            <w:shd w:fill="EAF4F7"/>
          </w:tcPr>
          <w:p>
            <w:pPr>
              <w:spacing w:after="20"/>
            </w:pPr>
            <w:r>
              <w:rPr>
                <w:sz w:val="16"/>
              </w:rPr>
              <w:t>R</w:t>
            </w:r>
          </w:p>
        </w:tc>
        <w:tc>
          <w:tcPr>
            <w:tcW w:w="2033" w:type="dxa"/>
            <w:tcMar>
              <w:top w:w="80" w:type="dxa"/>
              <w:start w:w="100" w:type="dxa"/>
              <w:bottom w:w="80" w:type="dxa"/>
              <w:end w:w="100" w:type="dxa"/>
            </w:tcMar>
            <w:vAlign w:val="center"/>
            <w:shd w:fill="EAF4F7"/>
          </w:tcPr>
          <w:p>
            <w:pPr>
              <w:spacing w:after="20"/>
            </w:pPr>
            <w:r>
              <w:rPr>
                <w:sz w:val="16"/>
              </w:rPr>
              <w:t>C</w:t>
            </w:r>
          </w:p>
        </w:tc>
        <w:tc>
          <w:tcPr>
            <w:tcW w:w="2033" w:type="dxa"/>
            <w:tcMar>
              <w:top w:w="80" w:type="dxa"/>
              <w:start w:w="100" w:type="dxa"/>
              <w:bottom w:w="80" w:type="dxa"/>
              <w:end w:w="100" w:type="dxa"/>
            </w:tcMar>
            <w:vAlign w:val="center"/>
            <w:shd w:fill="EAF4F7"/>
          </w:tcPr>
          <w:p>
            <w:pPr>
              <w:spacing w:after="20"/>
            </w:pPr>
            <w:r>
              <w:rPr>
                <w:sz w:val="16"/>
              </w:rPr>
              <w:t>I</w:t>
            </w:r>
          </w:p>
        </w:tc>
        <w:tc>
          <w:tcPr>
            <w:tcW w:w="2033" w:type="dxa"/>
            <w:tcMar>
              <w:top w:w="80" w:type="dxa"/>
              <w:start w:w="100" w:type="dxa"/>
              <w:bottom w:w="80" w:type="dxa"/>
              <w:end w:w="100" w:type="dxa"/>
            </w:tcMar>
            <w:vAlign w:val="center"/>
            <w:shd w:fill="EAF4F7"/>
          </w:tcPr>
          <w:p>
            <w:pPr>
              <w:spacing w:after="20"/>
            </w:pPr>
            <w:r>
              <w:rPr>
                <w:sz w:val="16"/>
              </w:rPr>
              <w:t>C</w:t>
            </w:r>
          </w:p>
        </w:tc>
      </w:tr>
      <w:tr>
        <w:trPr>
          <w:trHeight w:hRule="atLeast"/>
        </w:trPr>
        <w:tc>
          <w:tcPr>
            <w:tcW w:w="2033" w:type="dxa"/>
            <w:tcMar>
              <w:top w:w="80" w:type="dxa"/>
              <w:start w:w="100" w:type="dxa"/>
              <w:bottom w:w="80" w:type="dxa"/>
              <w:end w:w="100" w:type="dxa"/>
            </w:tcMar>
            <w:vAlign w:val="center"/>
          </w:tcPr>
          <w:p>
            <w:pPr>
              <w:spacing w:after="20"/>
            </w:pPr>
            <w:r>
              <w:rPr>
                <w:sz w:val="16"/>
              </w:rPr>
              <w:t>Build custom RAP event</w:t>
            </w:r>
          </w:p>
        </w:tc>
        <w:tc>
          <w:tcPr>
            <w:tcW w:w="2033" w:type="dxa"/>
            <w:tcMar>
              <w:top w:w="80" w:type="dxa"/>
              <w:start w:w="100" w:type="dxa"/>
              <w:bottom w:w="80" w:type="dxa"/>
              <w:end w:w="100" w:type="dxa"/>
            </w:tcMar>
            <w:vAlign w:val="center"/>
          </w:tcPr>
          <w:p>
            <w:pPr>
              <w:spacing w:after="20"/>
            </w:pPr>
            <w:r>
              <w:rPr>
                <w:sz w:val="16"/>
              </w:rPr>
              <w:t>A/R</w:t>
            </w:r>
          </w:p>
        </w:tc>
        <w:tc>
          <w:tcPr>
            <w:tcW w:w="2033" w:type="dxa"/>
            <w:tcMar>
              <w:top w:w="80" w:type="dxa"/>
              <w:start w:w="100" w:type="dxa"/>
              <w:bottom w:w="80" w:type="dxa"/>
              <w:end w:w="100" w:type="dxa"/>
            </w:tcMar>
            <w:vAlign w:val="center"/>
          </w:tcPr>
          <w:p>
            <w:pPr>
              <w:spacing w:after="20"/>
            </w:pPr>
            <w:r>
              <w:rPr>
                <w:sz w:val="16"/>
              </w:rPr>
              <w:t>I</w:t>
            </w:r>
          </w:p>
        </w:tc>
        <w:tc>
          <w:tcPr>
            <w:tcW w:w="2033" w:type="dxa"/>
            <w:tcMar>
              <w:top w:w="80" w:type="dxa"/>
              <w:start w:w="100" w:type="dxa"/>
              <w:bottom w:w="80" w:type="dxa"/>
              <w:end w:w="100" w:type="dxa"/>
            </w:tcMar>
            <w:vAlign w:val="center"/>
          </w:tcPr>
          <w:p>
            <w:pPr>
              <w:spacing w:after="20"/>
            </w:pPr>
            <w:r>
              <w:rPr>
                <w:sz w:val="16"/>
              </w:rPr>
              <w:t>I</w:t>
            </w:r>
          </w:p>
        </w:tc>
        <w:tc>
          <w:tcPr>
            <w:tcW w:w="2033" w:type="dxa"/>
            <w:tcMar>
              <w:top w:w="80" w:type="dxa"/>
              <w:start w:w="100" w:type="dxa"/>
              <w:bottom w:w="80" w:type="dxa"/>
              <w:end w:w="100" w:type="dxa"/>
            </w:tcMar>
            <w:vAlign w:val="center"/>
          </w:tcPr>
          <w:p>
            <w:pPr>
              <w:spacing w:after="20"/>
            </w:pPr>
            <w:r>
              <w:rPr>
                <w:sz w:val="16"/>
              </w:rPr>
              <w:t>C</w:t>
            </w:r>
          </w:p>
        </w:tc>
      </w:tr>
      <w:tr>
        <w:trPr>
          <w:trHeight w:hRule="atLeast"/>
        </w:trPr>
        <w:tc>
          <w:tcPr>
            <w:tcW w:w="2033" w:type="dxa"/>
            <w:tcMar>
              <w:top w:w="80" w:type="dxa"/>
              <w:start w:w="100" w:type="dxa"/>
              <w:bottom w:w="80" w:type="dxa"/>
              <w:end w:w="100" w:type="dxa"/>
            </w:tcMar>
            <w:vAlign w:val="center"/>
            <w:shd w:fill="EAF4F7"/>
          </w:tcPr>
          <w:p>
            <w:pPr>
              <w:spacing w:after="20"/>
            </w:pPr>
            <w:r>
              <w:rPr>
                <w:sz w:val="16"/>
              </w:rPr>
              <w:t>Define event payload</w:t>
            </w:r>
          </w:p>
        </w:tc>
        <w:tc>
          <w:tcPr>
            <w:tcW w:w="2033" w:type="dxa"/>
            <w:tcMar>
              <w:top w:w="80" w:type="dxa"/>
              <w:start w:w="100" w:type="dxa"/>
              <w:bottom w:w="80" w:type="dxa"/>
              <w:end w:w="100" w:type="dxa"/>
            </w:tcMar>
            <w:vAlign w:val="center"/>
            <w:shd w:fill="EAF4F7"/>
          </w:tcPr>
          <w:p>
            <w:pPr>
              <w:spacing w:after="20"/>
            </w:pPr>
            <w:r>
              <w:rPr>
                <w:sz w:val="16"/>
              </w:rPr>
              <w:t>R</w:t>
            </w:r>
          </w:p>
        </w:tc>
        <w:tc>
          <w:tcPr>
            <w:tcW w:w="2033" w:type="dxa"/>
            <w:tcMar>
              <w:top w:w="80" w:type="dxa"/>
              <w:start w:w="100" w:type="dxa"/>
              <w:bottom w:w="80" w:type="dxa"/>
              <w:end w:w="100" w:type="dxa"/>
            </w:tcMar>
            <w:vAlign w:val="center"/>
            <w:shd w:fill="EAF4F7"/>
          </w:tcPr>
          <w:p>
            <w:pPr>
              <w:spacing w:after="20"/>
            </w:pPr>
            <w:r>
              <w:rPr>
                <w:sz w:val="16"/>
              </w:rPr>
              <w:t>C</w:t>
            </w:r>
          </w:p>
        </w:tc>
        <w:tc>
          <w:tcPr>
            <w:tcW w:w="2033" w:type="dxa"/>
            <w:tcMar>
              <w:top w:w="80" w:type="dxa"/>
              <w:start w:w="100" w:type="dxa"/>
              <w:bottom w:w="80" w:type="dxa"/>
              <w:end w:w="100" w:type="dxa"/>
            </w:tcMar>
            <w:vAlign w:val="center"/>
            <w:shd w:fill="EAF4F7"/>
          </w:tcPr>
          <w:p>
            <w:pPr>
              <w:spacing w:after="20"/>
            </w:pPr>
            <w:r>
              <w:rPr>
                <w:sz w:val="16"/>
              </w:rPr>
              <w:t>I</w:t>
            </w:r>
          </w:p>
        </w:tc>
        <w:tc>
          <w:tcPr>
            <w:tcW w:w="2033" w:type="dxa"/>
            <w:tcMar>
              <w:top w:w="80" w:type="dxa"/>
              <w:start w:w="100" w:type="dxa"/>
              <w:bottom w:w="80" w:type="dxa"/>
              <w:end w:w="100" w:type="dxa"/>
            </w:tcMar>
            <w:vAlign w:val="center"/>
            <w:shd w:fill="EAF4F7"/>
          </w:tcPr>
          <w:p>
            <w:pPr>
              <w:spacing w:after="20"/>
            </w:pPr>
            <w:r>
              <w:rPr>
                <w:sz w:val="16"/>
              </w:rPr>
              <w:t>A/C</w:t>
            </w:r>
          </w:p>
        </w:tc>
      </w:tr>
      <w:tr>
        <w:trPr>
          <w:trHeight w:hRule="atLeast"/>
        </w:trPr>
        <w:tc>
          <w:tcPr>
            <w:tcW w:w="2033" w:type="dxa"/>
            <w:tcMar>
              <w:top w:w="80" w:type="dxa"/>
              <w:start w:w="100" w:type="dxa"/>
              <w:bottom w:w="80" w:type="dxa"/>
              <w:end w:w="100" w:type="dxa"/>
            </w:tcMar>
            <w:vAlign w:val="center"/>
          </w:tcPr>
          <w:p>
            <w:pPr>
              <w:spacing w:after="20"/>
            </w:pPr>
            <w:r>
              <w:rPr>
                <w:sz w:val="16"/>
              </w:rPr>
              <w:t>Create Event Binding</w:t>
            </w:r>
          </w:p>
        </w:tc>
        <w:tc>
          <w:tcPr>
            <w:tcW w:w="2033" w:type="dxa"/>
            <w:tcMar>
              <w:top w:w="80" w:type="dxa"/>
              <w:start w:w="100" w:type="dxa"/>
              <w:bottom w:w="80" w:type="dxa"/>
              <w:end w:w="100" w:type="dxa"/>
            </w:tcMar>
            <w:vAlign w:val="center"/>
          </w:tcPr>
          <w:p>
            <w:pPr>
              <w:spacing w:after="20"/>
            </w:pPr>
            <w:r>
              <w:rPr>
                <w:sz w:val="16"/>
              </w:rPr>
              <w:t>R</w:t>
            </w:r>
          </w:p>
        </w:tc>
        <w:tc>
          <w:tcPr>
            <w:tcW w:w="2033" w:type="dxa"/>
            <w:tcMar>
              <w:top w:w="80" w:type="dxa"/>
              <w:start w:w="100" w:type="dxa"/>
              <w:bottom w:w="80" w:type="dxa"/>
              <w:end w:w="100" w:type="dxa"/>
            </w:tcMar>
            <w:vAlign w:val="center"/>
          </w:tcPr>
          <w:p>
            <w:pPr>
              <w:spacing w:after="20"/>
            </w:pPr>
            <w:r>
              <w:rPr>
                <w:sz w:val="16"/>
              </w:rPr>
              <w:t>C</w:t>
            </w:r>
          </w:p>
        </w:tc>
        <w:tc>
          <w:tcPr>
            <w:tcW w:w="2033" w:type="dxa"/>
            <w:tcMar>
              <w:top w:w="80" w:type="dxa"/>
              <w:start w:w="100" w:type="dxa"/>
              <w:bottom w:w="80" w:type="dxa"/>
              <w:end w:w="100" w:type="dxa"/>
            </w:tcMar>
            <w:vAlign w:val="center"/>
          </w:tcPr>
          <w:p>
            <w:pPr>
              <w:spacing w:after="20"/>
            </w:pPr>
            <w:r>
              <w:rPr>
                <w:sz w:val="16"/>
              </w:rPr>
              <w:t>I</w:t>
            </w:r>
          </w:p>
        </w:tc>
        <w:tc>
          <w:tcPr>
            <w:tcW w:w="2033" w:type="dxa"/>
            <w:tcMar>
              <w:top w:w="80" w:type="dxa"/>
              <w:start w:w="100" w:type="dxa"/>
              <w:bottom w:w="80" w:type="dxa"/>
              <w:end w:w="100" w:type="dxa"/>
            </w:tcMar>
            <w:vAlign w:val="center"/>
          </w:tcPr>
          <w:p>
            <w:pPr>
              <w:spacing w:after="20"/>
            </w:pPr>
            <w:r>
              <w:rPr>
                <w:sz w:val="16"/>
              </w:rPr>
              <w:t>I</w:t>
            </w:r>
          </w:p>
        </w:tc>
      </w:tr>
      <w:tr>
        <w:trPr>
          <w:trHeight w:hRule="atLeast"/>
        </w:trPr>
        <w:tc>
          <w:tcPr>
            <w:tcW w:w="2033" w:type="dxa"/>
            <w:tcMar>
              <w:top w:w="80" w:type="dxa"/>
              <w:start w:w="100" w:type="dxa"/>
              <w:bottom w:w="80" w:type="dxa"/>
              <w:end w:w="100" w:type="dxa"/>
            </w:tcMar>
            <w:vAlign w:val="center"/>
            <w:shd w:fill="EAF4F7"/>
          </w:tcPr>
          <w:p>
            <w:pPr>
              <w:spacing w:after="20"/>
            </w:pPr>
            <w:r>
              <w:rPr>
                <w:sz w:val="16"/>
              </w:rPr>
              <w:t>Configure S/4 outbound binding</w:t>
            </w:r>
          </w:p>
        </w:tc>
        <w:tc>
          <w:tcPr>
            <w:tcW w:w="2033" w:type="dxa"/>
            <w:tcMar>
              <w:top w:w="80" w:type="dxa"/>
              <w:start w:w="100" w:type="dxa"/>
              <w:bottom w:w="80" w:type="dxa"/>
              <w:end w:w="100" w:type="dxa"/>
            </w:tcMar>
            <w:vAlign w:val="center"/>
            <w:shd w:fill="EAF4F7"/>
          </w:tcPr>
          <w:p>
            <w:pPr>
              <w:spacing w:after="20"/>
            </w:pPr>
            <w:r>
              <w:rPr>
                <w:sz w:val="16"/>
              </w:rPr>
              <w:t>C/R</w:t>
            </w:r>
          </w:p>
        </w:tc>
        <w:tc>
          <w:tcPr>
            <w:tcW w:w="2033" w:type="dxa"/>
            <w:tcMar>
              <w:top w:w="80" w:type="dxa"/>
              <w:start w:w="100" w:type="dxa"/>
              <w:bottom w:w="80" w:type="dxa"/>
              <w:end w:w="100" w:type="dxa"/>
            </w:tcMar>
            <w:vAlign w:val="center"/>
            <w:shd w:fill="EAF4F7"/>
          </w:tcPr>
          <w:p>
            <w:pPr>
              <w:spacing w:after="20"/>
            </w:pPr>
            <w:r>
              <w:rPr>
                <w:sz w:val="16"/>
              </w:rPr>
              <w:t>C</w:t>
            </w:r>
          </w:p>
        </w:tc>
        <w:tc>
          <w:tcPr>
            <w:tcW w:w="2033" w:type="dxa"/>
            <w:tcMar>
              <w:top w:w="80" w:type="dxa"/>
              <w:start w:w="100" w:type="dxa"/>
              <w:bottom w:w="80" w:type="dxa"/>
              <w:end w:w="100" w:type="dxa"/>
            </w:tcMar>
            <w:vAlign w:val="center"/>
            <w:shd w:fill="EAF4F7"/>
          </w:tcPr>
          <w:p>
            <w:pPr>
              <w:spacing w:after="20"/>
            </w:pPr>
            <w:r>
              <w:rPr>
                <w:sz w:val="16"/>
              </w:rPr>
              <w:t>A/R</w:t>
            </w:r>
          </w:p>
        </w:tc>
        <w:tc>
          <w:tcPr>
            <w:tcW w:w="2033" w:type="dxa"/>
            <w:tcMar>
              <w:top w:w="80" w:type="dxa"/>
              <w:start w:w="100" w:type="dxa"/>
              <w:bottom w:w="80" w:type="dxa"/>
              <w:end w:w="100" w:type="dxa"/>
            </w:tcMar>
            <w:vAlign w:val="center"/>
            <w:shd w:fill="EAF4F7"/>
          </w:tcPr>
          <w:p>
            <w:pPr>
              <w:spacing w:after="20"/>
            </w:pPr>
            <w:r>
              <w:rPr>
                <w:sz w:val="16"/>
              </w:rPr>
              <w:t>I</w:t>
            </w:r>
          </w:p>
        </w:tc>
      </w:tr>
      <w:tr>
        <w:trPr>
          <w:trHeight w:hRule="atLeast"/>
        </w:trPr>
        <w:tc>
          <w:tcPr>
            <w:tcW w:w="2033" w:type="dxa"/>
            <w:tcMar>
              <w:top w:w="80" w:type="dxa"/>
              <w:start w:w="100" w:type="dxa"/>
              <w:bottom w:w="80" w:type="dxa"/>
              <w:end w:w="100" w:type="dxa"/>
            </w:tcMar>
            <w:vAlign w:val="center"/>
          </w:tcPr>
          <w:p>
            <w:pPr>
              <w:spacing w:after="20"/>
            </w:pPr>
            <w:r>
              <w:rPr>
                <w:sz w:val="16"/>
              </w:rPr>
              <w:t>Create broker, queue, subscription</w:t>
            </w:r>
          </w:p>
        </w:tc>
        <w:tc>
          <w:tcPr>
            <w:tcW w:w="2033" w:type="dxa"/>
            <w:tcMar>
              <w:top w:w="80" w:type="dxa"/>
              <w:start w:w="100" w:type="dxa"/>
              <w:bottom w:w="80" w:type="dxa"/>
              <w:end w:w="100" w:type="dxa"/>
            </w:tcMar>
            <w:vAlign w:val="center"/>
          </w:tcPr>
          <w:p>
            <w:pPr>
              <w:spacing w:after="20"/>
            </w:pPr>
            <w:r>
              <w:rPr>
                <w:sz w:val="16"/>
              </w:rPr>
              <w:t>I/C</w:t>
            </w:r>
          </w:p>
        </w:tc>
        <w:tc>
          <w:tcPr>
            <w:tcW w:w="2033" w:type="dxa"/>
            <w:tcMar>
              <w:top w:w="80" w:type="dxa"/>
              <w:start w:w="100" w:type="dxa"/>
              <w:bottom w:w="80" w:type="dxa"/>
              <w:end w:w="100" w:type="dxa"/>
            </w:tcMar>
            <w:vAlign w:val="center"/>
          </w:tcPr>
          <w:p>
            <w:pPr>
              <w:spacing w:after="20"/>
            </w:pPr>
            <w:r>
              <w:rPr>
                <w:sz w:val="16"/>
              </w:rPr>
              <w:t>C/R</w:t>
            </w:r>
          </w:p>
        </w:tc>
        <w:tc>
          <w:tcPr>
            <w:tcW w:w="2033" w:type="dxa"/>
            <w:tcMar>
              <w:top w:w="80" w:type="dxa"/>
              <w:start w:w="100" w:type="dxa"/>
              <w:bottom w:w="80" w:type="dxa"/>
              <w:end w:w="100" w:type="dxa"/>
            </w:tcMar>
            <w:vAlign w:val="center"/>
          </w:tcPr>
          <w:p>
            <w:pPr>
              <w:spacing w:after="20"/>
            </w:pPr>
            <w:r>
              <w:rPr>
                <w:sz w:val="16"/>
              </w:rPr>
              <w:t>A/R</w:t>
            </w:r>
          </w:p>
        </w:tc>
        <w:tc>
          <w:tcPr>
            <w:tcW w:w="2033" w:type="dxa"/>
            <w:tcMar>
              <w:top w:w="80" w:type="dxa"/>
              <w:start w:w="100" w:type="dxa"/>
              <w:bottom w:w="80" w:type="dxa"/>
              <w:end w:w="100" w:type="dxa"/>
            </w:tcMar>
            <w:vAlign w:val="center"/>
          </w:tcPr>
          <w:p>
            <w:pPr>
              <w:spacing w:after="20"/>
            </w:pPr>
            <w:r>
              <w:rPr>
                <w:sz w:val="16"/>
              </w:rPr>
              <w:t>I</w:t>
            </w:r>
          </w:p>
        </w:tc>
      </w:tr>
      <w:tr>
        <w:trPr>
          <w:trHeight w:hRule="atLeast"/>
        </w:trPr>
        <w:tc>
          <w:tcPr>
            <w:tcW w:w="2033" w:type="dxa"/>
            <w:tcMar>
              <w:top w:w="80" w:type="dxa"/>
              <w:start w:w="100" w:type="dxa"/>
              <w:bottom w:w="80" w:type="dxa"/>
              <w:end w:w="100" w:type="dxa"/>
            </w:tcMar>
            <w:vAlign w:val="center"/>
            <w:shd w:fill="EAF4F7"/>
          </w:tcPr>
          <w:p>
            <w:pPr>
              <w:spacing w:after="20"/>
            </w:pPr>
            <w:r>
              <w:rPr>
                <w:sz w:val="16"/>
              </w:rPr>
              <w:t>Build Cloud Integration iFlow</w:t>
            </w:r>
          </w:p>
        </w:tc>
        <w:tc>
          <w:tcPr>
            <w:tcW w:w="2033" w:type="dxa"/>
            <w:tcMar>
              <w:top w:w="80" w:type="dxa"/>
              <w:start w:w="100" w:type="dxa"/>
              <w:bottom w:w="80" w:type="dxa"/>
              <w:end w:w="100" w:type="dxa"/>
            </w:tcMar>
            <w:vAlign w:val="center"/>
            <w:shd w:fill="EAF4F7"/>
          </w:tcPr>
          <w:p>
            <w:pPr>
              <w:spacing w:after="20"/>
            </w:pPr>
            <w:r>
              <w:rPr>
                <w:sz w:val="16"/>
              </w:rPr>
              <w:t>C</w:t>
            </w:r>
          </w:p>
        </w:tc>
        <w:tc>
          <w:tcPr>
            <w:tcW w:w="2033" w:type="dxa"/>
            <w:tcMar>
              <w:top w:w="80" w:type="dxa"/>
              <w:start w:w="100" w:type="dxa"/>
              <w:bottom w:w="80" w:type="dxa"/>
              <w:end w:w="100" w:type="dxa"/>
            </w:tcMar>
            <w:vAlign w:val="center"/>
            <w:shd w:fill="EAF4F7"/>
          </w:tcPr>
          <w:p>
            <w:pPr>
              <w:spacing w:after="20"/>
            </w:pPr>
            <w:r>
              <w:rPr>
                <w:sz w:val="16"/>
              </w:rPr>
              <w:t>A/R</w:t>
            </w:r>
          </w:p>
        </w:tc>
        <w:tc>
          <w:tcPr>
            <w:tcW w:w="2033" w:type="dxa"/>
            <w:tcMar>
              <w:top w:w="80" w:type="dxa"/>
              <w:start w:w="100" w:type="dxa"/>
              <w:bottom w:w="80" w:type="dxa"/>
              <w:end w:w="100" w:type="dxa"/>
            </w:tcMar>
            <w:vAlign w:val="center"/>
            <w:shd w:fill="EAF4F7"/>
          </w:tcPr>
          <w:p>
            <w:pPr>
              <w:spacing w:after="20"/>
            </w:pPr>
            <w:r>
              <w:rPr>
                <w:sz w:val="16"/>
              </w:rPr>
              <w:t>C</w:t>
            </w:r>
          </w:p>
        </w:tc>
        <w:tc>
          <w:tcPr>
            <w:tcW w:w="2033" w:type="dxa"/>
            <w:tcMar>
              <w:top w:w="80" w:type="dxa"/>
              <w:start w:w="100" w:type="dxa"/>
              <w:bottom w:w="80" w:type="dxa"/>
              <w:end w:w="100" w:type="dxa"/>
            </w:tcMar>
            <w:vAlign w:val="center"/>
            <w:shd w:fill="EAF4F7"/>
          </w:tcPr>
          <w:p>
            <w:pPr>
              <w:spacing w:after="20"/>
            </w:pPr>
            <w:r>
              <w:rPr>
                <w:sz w:val="16"/>
              </w:rPr>
              <w:t>I</w:t>
            </w:r>
          </w:p>
        </w:tc>
      </w:tr>
      <w:tr>
        <w:trPr>
          <w:trHeight w:hRule="atLeast"/>
        </w:trPr>
        <w:tc>
          <w:tcPr>
            <w:tcW w:w="2033" w:type="dxa"/>
            <w:tcMar>
              <w:top w:w="80" w:type="dxa"/>
              <w:start w:w="100" w:type="dxa"/>
              <w:bottom w:w="80" w:type="dxa"/>
              <w:end w:w="100" w:type="dxa"/>
            </w:tcMar>
            <w:vAlign w:val="center"/>
          </w:tcPr>
          <w:p>
            <w:pPr>
              <w:spacing w:after="20"/>
            </w:pPr>
            <w:r>
              <w:rPr>
                <w:sz w:val="16"/>
              </w:rPr>
              <w:t>Debug ABAP event generation</w:t>
            </w:r>
          </w:p>
        </w:tc>
        <w:tc>
          <w:tcPr>
            <w:tcW w:w="2033" w:type="dxa"/>
            <w:tcMar>
              <w:top w:w="80" w:type="dxa"/>
              <w:start w:w="100" w:type="dxa"/>
              <w:bottom w:w="80" w:type="dxa"/>
              <w:end w:w="100" w:type="dxa"/>
            </w:tcMar>
            <w:vAlign w:val="center"/>
          </w:tcPr>
          <w:p>
            <w:pPr>
              <w:spacing w:after="20"/>
            </w:pPr>
            <w:r>
              <w:rPr>
                <w:sz w:val="16"/>
              </w:rPr>
              <w:t>A/R</w:t>
            </w:r>
          </w:p>
        </w:tc>
        <w:tc>
          <w:tcPr>
            <w:tcW w:w="2033" w:type="dxa"/>
            <w:tcMar>
              <w:top w:w="80" w:type="dxa"/>
              <w:start w:w="100" w:type="dxa"/>
              <w:bottom w:w="80" w:type="dxa"/>
              <w:end w:w="100" w:type="dxa"/>
            </w:tcMar>
            <w:vAlign w:val="center"/>
          </w:tcPr>
          <w:p>
            <w:pPr>
              <w:spacing w:after="20"/>
            </w:pPr>
            <w:r>
              <w:rPr>
                <w:sz w:val="16"/>
              </w:rPr>
              <w:t>C</w:t>
            </w:r>
          </w:p>
        </w:tc>
        <w:tc>
          <w:tcPr>
            <w:tcW w:w="2033" w:type="dxa"/>
            <w:tcMar>
              <w:top w:w="80" w:type="dxa"/>
              <w:start w:w="100" w:type="dxa"/>
              <w:bottom w:w="80" w:type="dxa"/>
              <w:end w:w="100" w:type="dxa"/>
            </w:tcMar>
            <w:vAlign w:val="center"/>
          </w:tcPr>
          <w:p>
            <w:pPr>
              <w:spacing w:after="20"/>
            </w:pPr>
            <w:r>
              <w:rPr>
                <w:sz w:val="16"/>
              </w:rPr>
              <w:t>I</w:t>
            </w:r>
          </w:p>
        </w:tc>
        <w:tc>
          <w:tcPr>
            <w:tcW w:w="2033" w:type="dxa"/>
            <w:tcMar>
              <w:top w:w="80" w:type="dxa"/>
              <w:start w:w="100" w:type="dxa"/>
              <w:bottom w:w="80" w:type="dxa"/>
              <w:end w:w="100" w:type="dxa"/>
            </w:tcMar>
            <w:vAlign w:val="center"/>
          </w:tcPr>
          <w:p>
            <w:pPr>
              <w:spacing w:after="20"/>
            </w:pPr>
            <w:r>
              <w:rPr>
                <w:sz w:val="16"/>
              </w:rPr>
              <w:t>C</w:t>
            </w:r>
          </w:p>
        </w:tc>
      </w:tr>
      <w:tr>
        <w:trPr>
          <w:trHeight w:hRule="atLeast"/>
        </w:trPr>
        <w:tc>
          <w:tcPr>
            <w:tcW w:w="2033" w:type="dxa"/>
            <w:tcMar>
              <w:top w:w="80" w:type="dxa"/>
              <w:start w:w="100" w:type="dxa"/>
              <w:bottom w:w="80" w:type="dxa"/>
              <w:end w:w="100" w:type="dxa"/>
            </w:tcMar>
            <w:vAlign w:val="center"/>
            <w:shd w:fill="EAF4F7"/>
          </w:tcPr>
          <w:p>
            <w:pPr>
              <w:spacing w:after="20"/>
            </w:pPr>
            <w:r>
              <w:rPr>
                <w:sz w:val="16"/>
              </w:rPr>
              <w:t>Monitor Event Mesh queue</w:t>
            </w:r>
          </w:p>
        </w:tc>
        <w:tc>
          <w:tcPr>
            <w:tcW w:w="2033" w:type="dxa"/>
            <w:tcMar>
              <w:top w:w="80" w:type="dxa"/>
              <w:start w:w="100" w:type="dxa"/>
              <w:bottom w:w="80" w:type="dxa"/>
              <w:end w:w="100" w:type="dxa"/>
            </w:tcMar>
            <w:vAlign w:val="center"/>
            <w:shd w:fill="EAF4F7"/>
          </w:tcPr>
          <w:p>
            <w:pPr>
              <w:spacing w:after="20"/>
            </w:pPr>
            <w:r>
              <w:rPr>
                <w:sz w:val="16"/>
              </w:rPr>
              <w:t>C</w:t>
            </w:r>
          </w:p>
        </w:tc>
        <w:tc>
          <w:tcPr>
            <w:tcW w:w="2033" w:type="dxa"/>
            <w:tcMar>
              <w:top w:w="80" w:type="dxa"/>
              <w:start w:w="100" w:type="dxa"/>
              <w:bottom w:w="80" w:type="dxa"/>
              <w:end w:w="100" w:type="dxa"/>
            </w:tcMar>
            <w:vAlign w:val="center"/>
            <w:shd w:fill="EAF4F7"/>
          </w:tcPr>
          <w:p>
            <w:pPr>
              <w:spacing w:after="20"/>
            </w:pPr>
            <w:r>
              <w:rPr>
                <w:sz w:val="16"/>
              </w:rPr>
              <w:t>R</w:t>
            </w:r>
          </w:p>
        </w:tc>
        <w:tc>
          <w:tcPr>
            <w:tcW w:w="2033" w:type="dxa"/>
            <w:tcMar>
              <w:top w:w="80" w:type="dxa"/>
              <w:start w:w="100" w:type="dxa"/>
              <w:bottom w:w="80" w:type="dxa"/>
              <w:end w:w="100" w:type="dxa"/>
            </w:tcMar>
            <w:vAlign w:val="center"/>
            <w:shd w:fill="EAF4F7"/>
          </w:tcPr>
          <w:p>
            <w:pPr>
              <w:spacing w:after="20"/>
            </w:pPr>
            <w:r>
              <w:rPr>
                <w:sz w:val="16"/>
              </w:rPr>
              <w:t>A/R</w:t>
            </w:r>
          </w:p>
        </w:tc>
        <w:tc>
          <w:tcPr>
            <w:tcW w:w="2033" w:type="dxa"/>
            <w:tcMar>
              <w:top w:w="80" w:type="dxa"/>
              <w:start w:w="100" w:type="dxa"/>
              <w:bottom w:w="80" w:type="dxa"/>
              <w:end w:w="100" w:type="dxa"/>
            </w:tcMar>
            <w:vAlign w:val="center"/>
            <w:shd w:fill="EAF4F7"/>
          </w:tcPr>
          <w:p>
            <w:pPr>
              <w:spacing w:after="20"/>
            </w:pPr>
            <w:r>
              <w:rPr>
                <w:sz w:val="16"/>
              </w:rPr>
              <w:t>I</w:t>
            </w:r>
          </w:p>
        </w:tc>
      </w:tr>
      <w:tr>
        <w:trPr>
          <w:trHeight w:hRule="atLeast"/>
        </w:trPr>
        <w:tc>
          <w:tcPr>
            <w:tcW w:w="2033" w:type="dxa"/>
            <w:tcMar>
              <w:top w:w="80" w:type="dxa"/>
              <w:start w:w="100" w:type="dxa"/>
              <w:bottom w:w="80" w:type="dxa"/>
              <w:end w:w="100" w:type="dxa"/>
            </w:tcMar>
            <w:vAlign w:val="center"/>
          </w:tcPr>
          <w:p>
            <w:pPr>
              <w:spacing w:after="20"/>
            </w:pPr>
            <w:r>
              <w:rPr>
                <w:sz w:val="16"/>
              </w:rPr>
              <w:t>Validate business result</w:t>
            </w:r>
          </w:p>
        </w:tc>
        <w:tc>
          <w:tcPr>
            <w:tcW w:w="2033" w:type="dxa"/>
            <w:tcMar>
              <w:top w:w="80" w:type="dxa"/>
              <w:start w:w="100" w:type="dxa"/>
              <w:bottom w:w="80" w:type="dxa"/>
              <w:end w:w="100" w:type="dxa"/>
            </w:tcMar>
            <w:vAlign w:val="center"/>
          </w:tcPr>
          <w:p>
            <w:pPr>
              <w:spacing w:after="20"/>
            </w:pPr>
            <w:r>
              <w:rPr>
                <w:sz w:val="16"/>
              </w:rPr>
              <w:t>C</w:t>
            </w:r>
          </w:p>
        </w:tc>
        <w:tc>
          <w:tcPr>
            <w:tcW w:w="2033" w:type="dxa"/>
            <w:tcMar>
              <w:top w:w="80" w:type="dxa"/>
              <w:start w:w="100" w:type="dxa"/>
              <w:bottom w:w="80" w:type="dxa"/>
              <w:end w:w="100" w:type="dxa"/>
            </w:tcMar>
            <w:vAlign w:val="center"/>
          </w:tcPr>
          <w:p>
            <w:pPr>
              <w:spacing w:after="20"/>
            </w:pPr>
            <w:r>
              <w:rPr>
                <w:sz w:val="16"/>
              </w:rPr>
              <w:t>C</w:t>
            </w:r>
          </w:p>
        </w:tc>
        <w:tc>
          <w:tcPr>
            <w:tcW w:w="2033" w:type="dxa"/>
            <w:tcMar>
              <w:top w:w="80" w:type="dxa"/>
              <w:start w:w="100" w:type="dxa"/>
              <w:bottom w:w="80" w:type="dxa"/>
              <w:end w:w="100" w:type="dxa"/>
            </w:tcMar>
            <w:vAlign w:val="center"/>
          </w:tcPr>
          <w:p>
            <w:pPr>
              <w:spacing w:after="20"/>
            </w:pPr>
            <w:r>
              <w:rPr>
                <w:sz w:val="16"/>
              </w:rPr>
              <w:t>I</w:t>
            </w:r>
          </w:p>
        </w:tc>
        <w:tc>
          <w:tcPr>
            <w:tcW w:w="2033" w:type="dxa"/>
            <w:tcMar>
              <w:top w:w="80" w:type="dxa"/>
              <w:start w:w="100" w:type="dxa"/>
              <w:bottom w:w="80" w:type="dxa"/>
              <w:end w:w="100" w:type="dxa"/>
            </w:tcMar>
            <w:vAlign w:val="center"/>
          </w:tcPr>
          <w:p>
            <w:pPr>
              <w:spacing w:after="20"/>
            </w:pPr>
            <w:r>
              <w:rPr>
                <w:sz w:val="16"/>
              </w:rPr>
              <w:t>A/R</w:t>
            </w:r>
          </w:p>
        </w:tc>
      </w:tr>
    </w:tbl>
    <w:p>
      <w:pPr>
        <w:spacing w:after="20"/>
      </w:pPr>
    </w:p>
    <w:p>
      <w:r>
        <w:t>R = Responsible, A = Accountable, C = Consulted, I = Informed.</w:t>
      </w:r>
    </w:p>
    <w:p>
      <w:pPr>
        <w:pStyle w:val="Heading2"/>
      </w:pPr>
      <w:r>
        <w:t>Your normal day-to-day work</w:t>
      </w:r>
    </w:p>
    <w:p>
      <w:pPr>
        <w:ind w:left="317" w:hanging="317"/>
      </w:pPr>
      <w:r>
        <w:rPr>
          <w:b/>
        </w:rPr>
        <w:t xml:space="preserve">1. </w:t>
      </w:r>
      <w:r>
        <w:t>Receive a requirement such as “notify WMS after outbound delivery creation.”</w:t>
      </w:r>
    </w:p>
    <w:p>
      <w:pPr>
        <w:ind w:left="317" w:hanging="317"/>
      </w:pPr>
      <w:r>
        <w:rPr>
          <w:b/>
        </w:rPr>
        <w:t xml:space="preserve">2. </w:t>
      </w:r>
      <w:r>
        <w:t>Check whether SAP already publishes a suitable event.</w:t>
      </w:r>
    </w:p>
    <w:p>
      <w:pPr>
        <w:ind w:left="317" w:hanging="317"/>
      </w:pPr>
      <w:r>
        <w:rPr>
          <w:b/>
        </w:rPr>
        <w:t xml:space="preserve">3. </w:t>
      </w:r>
      <w:r>
        <w:t>Verify its payload and release availability.</w:t>
      </w:r>
    </w:p>
    <w:p>
      <w:pPr>
        <w:ind w:left="317" w:hanging="317"/>
      </w:pPr>
      <w:r>
        <w:rPr>
          <w:b/>
        </w:rPr>
        <w:t xml:space="preserve">4. </w:t>
      </w:r>
      <w:r>
        <w:t>If none exists, assess a custom RAP event or another supported pattern.</w:t>
      </w:r>
    </w:p>
    <w:p>
      <w:pPr>
        <w:ind w:left="317" w:hanging="317"/>
      </w:pPr>
      <w:r>
        <w:rPr>
          <w:b/>
        </w:rPr>
        <w:t xml:space="preserve">5. </w:t>
      </w:r>
      <w:r>
        <w:t>Implement and test ABAP-side logic.</w:t>
      </w:r>
    </w:p>
    <w:p>
      <w:pPr>
        <w:ind w:left="317" w:hanging="317"/>
      </w:pPr>
      <w:r>
        <w:rPr>
          <w:b/>
        </w:rPr>
        <w:t xml:space="preserve">6. </w:t>
      </w:r>
      <w:r>
        <w:t>Provide topic, payload, sample business keys, and test evidence.</w:t>
      </w:r>
    </w:p>
    <w:p>
      <w:pPr>
        <w:ind w:left="317" w:hanging="317"/>
      </w:pPr>
      <w:r>
        <w:rPr>
          <w:b/>
        </w:rPr>
        <w:t xml:space="preserve">7. </w:t>
      </w:r>
      <w:r>
        <w:t>Trace failed events using the source event ID or correlation ID.</w:t>
      </w:r>
    </w:p>
    <w:p>
      <w:pPr>
        <w:ind w:left="317" w:hanging="317"/>
      </w:pPr>
      <w:r>
        <w:rPr>
          <w:b/>
        </w:rPr>
        <w:t xml:space="preserve">8. </w:t>
      </w:r>
      <w:r>
        <w:t>Support production incidents without directly changing broker messages or SAP standard tables.</w:t>
      </w:r>
    </w:p>
    <w:p>
      <w:pPr>
        <w:pStyle w:val="Heading1"/>
      </w:pPr>
      <w:r>
        <w:t>2. Complete Architecture</w:t>
      </w:r>
    </w:p>
    <w:p>
      <w:pPr>
        <w:pStyle w:val="CodeBlock"/>
        <w:shd w:fill="F2F5F7"/>
      </w:pPr>
      <w:r>
        <w:t>Business User</w:t>
        <w:br/>
        <w:t xml:space="preserve">     │ creates Sales Order</w:t>
        <w:br/>
        <w:t xml:space="preserve">     ▼</w:t>
        <w:br/>
        <w:t>SAP S/4HANA / ABAP Business Object</w:t>
        <w:br/>
        <w:t xml:space="preserve">     │</w:t>
        <w:br/>
        <w:t xml:space="preserve">     ├─ Standard SAP Business Event</w:t>
        <w:br/>
        <w:t xml:space="preserve">     │        OR</w:t>
        <w:br/>
        <w:t xml:space="preserve">     └─ Custom RAP Business Event</w:t>
        <w:br/>
        <w:t xml:space="preserve">              │</w:t>
        <w:br/>
        <w:t xml:space="preserve">       Enterprise Event Enablement</w:t>
        <w:br/>
        <w:t xml:space="preserve">       / RAP Event Infrastructure</w:t>
        <w:br/>
        <w:t xml:space="preserve">              │</w:t>
        <w:br/>
        <w:t xml:space="preserve">       Channel + Outbound Binding</w:t>
        <w:br/>
        <w:t xml:space="preserve">              ▼</w:t>
        <w:br/>
        <w:t xml:space="preserve">       Event Mesh Broker Topic</w:t>
        <w:br/>
        <w:t xml:space="preserve">              │</w:t>
        <w:br/>
        <w:t xml:space="preserve">        Topic Subscription</w:t>
        <w:br/>
        <w:t xml:space="preserve">       ┌──────┴────────┐</w:t>
        <w:br/>
        <w:t xml:space="preserve">       ▼               ▼</w:t>
        <w:br/>
        <w:t xml:space="preserve"> Warehouse Queue    Analytics Queue</w:t>
        <w:br/>
        <w:t xml:space="preserve">       │               │</w:t>
        <w:br/>
        <w:t xml:space="preserve"> Cloud Integration   Analytics App</w:t>
        <w:br/>
        <w:t xml:space="preserve">       │</w:t>
        <w:br/>
        <w:t xml:space="preserve">    Target WMS</w:t>
        <w:br/>
        <w:t xml:space="preserve">       │</w:t>
        <w:br/>
        <w:t xml:space="preserve"> Acknowledgment</w:t>
      </w:r>
    </w:p>
    <w:p>
      <w:r>
        <w:t>Enterprise Event Enablement connects S/4HANA applications to an event-exchange infrastructure. For on-premise/private scenarios, a channel represents the connection to an Event Mesh instance and uses an SM59 destination plus OAuth configuration.</w:t>
      </w:r>
    </w:p>
    <w:p>
      <w:pPr>
        <w:jc w:val="center"/>
      </w:pPr>
      <w:r>
        <w:drawing>
          <wp:inline xmlns:a="http://schemas.openxmlformats.org/drawingml/2006/main" xmlns:pic="http://schemas.openxmlformats.org/drawingml/2006/picture">
            <wp:extent cx="6400800" cy="4267200"/>
            <wp:docPr id="1" name="Picture 1" descr="Image: image1.png"/>
            <wp:cNvGraphicFramePr>
              <a:graphicFrameLocks noChangeAspect="1"/>
            </wp:cNvGraphicFramePr>
            <a:graphic>
              <a:graphicData uri="http://schemas.openxmlformats.org/drawingml/2006/picture">
                <pic:pic>
                  <pic:nvPicPr>
                    <pic:cNvPr id="0" name="generated_image_20260923145209_1.png"/>
                    <pic:cNvPicPr/>
                  </pic:nvPicPr>
                  <pic:blipFill>
                    <a:blip r:embed="rId11"/>
                    <a:stretch>
                      <a:fillRect/>
                    </a:stretch>
                  </pic:blipFill>
                  <pic:spPr>
                    <a:xfrm>
                      <a:off x="0" y="0"/>
                      <a:ext cx="6400800" cy="4267200"/>
                    </a:xfrm>
                    <a:prstGeom prst="rect"/>
                  </pic:spPr>
                </pic:pic>
              </a:graphicData>
            </a:graphic>
          </wp:inline>
        </w:drawing>
      </w:r>
    </w:p>
    <w:p>
      <w:pPr>
        <w:jc w:val="center"/>
      </w:pPr>
      <w:r>
        <w:rPr>
          <w:i/>
          <w:color w:val="46505A"/>
          <w:sz w:val="17"/>
        </w:rPr>
        <w:t>Figure 1: ABAP-to-Event-Mesh reference architecture across on-premise, private cloud, and public cloud/ABAP Cloud landscapes.</w:t>
      </w:r>
    </w:p>
    <w:p>
      <w:pPr>
        <w:pStyle w:val="Heading2"/>
      </w:pPr>
      <w:r>
        <w:t>Terms in ABAP language</w:t>
      </w:r>
    </w:p>
    <w:tbl>
      <w:tblPr>
        <w:tblStyle w:val="TableGrid"/>
        <w:tblW w:w="0" w:type="auto"/>
        <w:jc w:val="center"/>
        <w:tblLook w:val="04A0" w:firstRow="1" w:lastRow="0" w:firstColumn="1" w:lastColumn="0" w:noHBand="0" w:noVBand="1"/>
      </w:tblPr>
      <w:tblGrid>
        <w:gridCol w:w="5083"/>
        <w:gridCol w:w="5083"/>
      </w:tblGrid>
      <w:tr>
        <w:trPr>
          <w:trHeight w:hRule="atLeast"/>
          <w:tblHeader w:val="true"/>
        </w:trPr>
        <w:tc>
          <w:tcPr>
            <w:tcW w:w="5083" w:type="dxa"/>
            <w:shd w:fill="0B3768"/>
            <w:tcMar>
              <w:top w:w="80" w:type="dxa"/>
              <w:start w:w="100" w:type="dxa"/>
              <w:bottom w:w="80" w:type="dxa"/>
              <w:end w:w="100" w:type="dxa"/>
            </w:tcMar>
            <w:vAlign w:val="center"/>
          </w:tcPr>
          <w:p>
            <w:r>
              <w:rPr>
                <w:b/>
                <w:color w:val="FFFFFF"/>
                <w:sz w:val="17"/>
              </w:rPr>
              <w:t>Term</w:t>
            </w:r>
          </w:p>
        </w:tc>
        <w:tc>
          <w:tcPr>
            <w:tcW w:w="5083" w:type="dxa"/>
            <w:shd w:fill="0B3768"/>
            <w:tcMar>
              <w:top w:w="80" w:type="dxa"/>
              <w:start w:w="100" w:type="dxa"/>
              <w:bottom w:w="80" w:type="dxa"/>
              <w:end w:w="100" w:type="dxa"/>
            </w:tcMar>
            <w:vAlign w:val="center"/>
          </w:tcPr>
          <w:p>
            <w:r>
              <w:rPr>
                <w:b/>
                <w:color w:val="FFFFFF"/>
                <w:sz w:val="17"/>
              </w:rPr>
              <w:t>ABAP-oriented meaning</w:t>
            </w:r>
          </w:p>
        </w:tc>
      </w:tr>
      <w:tr>
        <w:trPr>
          <w:trHeight w:hRule="atLeast"/>
        </w:trPr>
        <w:tc>
          <w:tcPr>
            <w:tcW w:w="5083" w:type="dxa"/>
            <w:tcMar>
              <w:top w:w="80" w:type="dxa"/>
              <w:start w:w="100" w:type="dxa"/>
              <w:bottom w:w="80" w:type="dxa"/>
              <w:end w:w="100" w:type="dxa"/>
            </w:tcMar>
            <w:vAlign w:val="center"/>
          </w:tcPr>
          <w:p>
            <w:pPr>
              <w:spacing w:after="20"/>
            </w:pPr>
            <w:r>
              <w:rPr>
                <w:sz w:val="16"/>
              </w:rPr>
              <w:t>Producer/publisher</w:t>
            </w:r>
          </w:p>
        </w:tc>
        <w:tc>
          <w:tcPr>
            <w:tcW w:w="5083" w:type="dxa"/>
            <w:tcMar>
              <w:top w:w="80" w:type="dxa"/>
              <w:start w:w="100" w:type="dxa"/>
              <w:bottom w:w="80" w:type="dxa"/>
              <w:end w:w="100" w:type="dxa"/>
            </w:tcMar>
            <w:vAlign w:val="center"/>
          </w:tcPr>
          <w:p>
            <w:pPr>
              <w:spacing w:after="20"/>
            </w:pPr>
            <w:r>
              <w:rPr>
                <w:sz w:val="16"/>
              </w:rPr>
              <w:t>S/4HANA or your RAP BO raising the event</w:t>
            </w:r>
          </w:p>
        </w:tc>
      </w:tr>
      <w:tr>
        <w:trPr>
          <w:trHeight w:hRule="atLeast"/>
        </w:trPr>
        <w:tc>
          <w:tcPr>
            <w:tcW w:w="5083" w:type="dxa"/>
            <w:tcMar>
              <w:top w:w="80" w:type="dxa"/>
              <w:start w:w="100" w:type="dxa"/>
              <w:bottom w:w="80" w:type="dxa"/>
              <w:end w:w="100" w:type="dxa"/>
            </w:tcMar>
            <w:vAlign w:val="center"/>
            <w:shd w:fill="EAF4F7"/>
          </w:tcPr>
          <w:p>
            <w:pPr>
              <w:spacing w:after="20"/>
            </w:pPr>
            <w:r>
              <w:rPr>
                <w:sz w:val="16"/>
              </w:rPr>
              <w:t>Event</w:t>
            </w:r>
          </w:p>
        </w:tc>
        <w:tc>
          <w:tcPr>
            <w:tcW w:w="5083" w:type="dxa"/>
            <w:tcMar>
              <w:top w:w="80" w:type="dxa"/>
              <w:start w:w="100" w:type="dxa"/>
              <w:bottom w:w="80" w:type="dxa"/>
              <w:end w:w="100" w:type="dxa"/>
            </w:tcMar>
            <w:vAlign w:val="center"/>
            <w:shd w:fill="EAF4F7"/>
          </w:tcPr>
          <w:p>
            <w:pPr>
              <w:spacing w:after="20"/>
            </w:pPr>
            <w:r>
              <w:rPr>
                <w:sz w:val="16"/>
              </w:rPr>
              <w:t>Fact such as SalesOrder.Created</w:t>
            </w:r>
          </w:p>
        </w:tc>
      </w:tr>
      <w:tr>
        <w:trPr>
          <w:trHeight w:hRule="atLeast"/>
        </w:trPr>
        <w:tc>
          <w:tcPr>
            <w:tcW w:w="5083" w:type="dxa"/>
            <w:tcMar>
              <w:top w:w="80" w:type="dxa"/>
              <w:start w:w="100" w:type="dxa"/>
              <w:bottom w:w="80" w:type="dxa"/>
              <w:end w:w="100" w:type="dxa"/>
            </w:tcMar>
            <w:vAlign w:val="center"/>
          </w:tcPr>
          <w:p>
            <w:pPr>
              <w:spacing w:after="20"/>
            </w:pPr>
            <w:r>
              <w:rPr>
                <w:sz w:val="16"/>
              </w:rPr>
              <w:t>Payload</w:t>
            </w:r>
          </w:p>
        </w:tc>
        <w:tc>
          <w:tcPr>
            <w:tcW w:w="5083" w:type="dxa"/>
            <w:tcMar>
              <w:top w:w="80" w:type="dxa"/>
              <w:start w:w="100" w:type="dxa"/>
              <w:bottom w:w="80" w:type="dxa"/>
              <w:end w:w="100" w:type="dxa"/>
            </w:tcMar>
            <w:vAlign w:val="center"/>
          </w:tcPr>
          <w:p>
            <w:pPr>
              <w:spacing w:after="20"/>
            </w:pPr>
            <w:r>
              <w:rPr>
                <w:sz w:val="16"/>
              </w:rPr>
              <w:t>Business key and permitted event data</w:t>
            </w:r>
          </w:p>
        </w:tc>
      </w:tr>
      <w:tr>
        <w:trPr>
          <w:trHeight w:hRule="atLeast"/>
        </w:trPr>
        <w:tc>
          <w:tcPr>
            <w:tcW w:w="5083" w:type="dxa"/>
            <w:tcMar>
              <w:top w:w="80" w:type="dxa"/>
              <w:start w:w="100" w:type="dxa"/>
              <w:bottom w:w="80" w:type="dxa"/>
              <w:end w:w="100" w:type="dxa"/>
            </w:tcMar>
            <w:vAlign w:val="center"/>
            <w:shd w:fill="EAF4F7"/>
          </w:tcPr>
          <w:p>
            <w:pPr>
              <w:spacing w:after="20"/>
            </w:pPr>
            <w:r>
              <w:rPr>
                <w:sz w:val="16"/>
              </w:rPr>
              <w:t>Topic</w:t>
            </w:r>
          </w:p>
        </w:tc>
        <w:tc>
          <w:tcPr>
            <w:tcW w:w="5083" w:type="dxa"/>
            <w:tcMar>
              <w:top w:w="80" w:type="dxa"/>
              <w:start w:w="100" w:type="dxa"/>
              <w:bottom w:w="80" w:type="dxa"/>
              <w:end w:w="100" w:type="dxa"/>
            </w:tcMar>
            <w:vAlign w:val="center"/>
            <w:shd w:fill="EAF4F7"/>
          </w:tcPr>
          <w:p>
            <w:pPr>
              <w:spacing w:after="20"/>
            </w:pPr>
            <w:r>
              <w:rPr>
                <w:sz w:val="16"/>
              </w:rPr>
              <w:t>Hierarchical event address</w:t>
            </w:r>
          </w:p>
        </w:tc>
      </w:tr>
      <w:tr>
        <w:trPr>
          <w:trHeight w:hRule="atLeast"/>
        </w:trPr>
        <w:tc>
          <w:tcPr>
            <w:tcW w:w="5083" w:type="dxa"/>
            <w:tcMar>
              <w:top w:w="80" w:type="dxa"/>
              <w:start w:w="100" w:type="dxa"/>
              <w:bottom w:w="80" w:type="dxa"/>
              <w:end w:w="100" w:type="dxa"/>
            </w:tcMar>
            <w:vAlign w:val="center"/>
          </w:tcPr>
          <w:p>
            <w:pPr>
              <w:spacing w:after="20"/>
            </w:pPr>
            <w:r>
              <w:rPr>
                <w:sz w:val="16"/>
              </w:rPr>
              <w:t>Subscription</w:t>
            </w:r>
          </w:p>
        </w:tc>
        <w:tc>
          <w:tcPr>
            <w:tcW w:w="5083" w:type="dxa"/>
            <w:tcMar>
              <w:top w:w="80" w:type="dxa"/>
              <w:start w:w="100" w:type="dxa"/>
              <w:bottom w:w="80" w:type="dxa"/>
              <w:end w:w="100" w:type="dxa"/>
            </w:tcMar>
            <w:vAlign w:val="center"/>
          </w:tcPr>
          <w:p>
            <w:pPr>
              <w:spacing w:after="20"/>
            </w:pPr>
            <w:r>
              <w:rPr>
                <w:sz w:val="16"/>
              </w:rPr>
              <w:t>Rule routing a topic to a queue</w:t>
            </w:r>
          </w:p>
        </w:tc>
      </w:tr>
      <w:tr>
        <w:trPr>
          <w:trHeight w:hRule="atLeast"/>
        </w:trPr>
        <w:tc>
          <w:tcPr>
            <w:tcW w:w="5083" w:type="dxa"/>
            <w:tcMar>
              <w:top w:w="80" w:type="dxa"/>
              <w:start w:w="100" w:type="dxa"/>
              <w:bottom w:w="80" w:type="dxa"/>
              <w:end w:w="100" w:type="dxa"/>
            </w:tcMar>
            <w:vAlign w:val="center"/>
            <w:shd w:fill="EAF4F7"/>
          </w:tcPr>
          <w:p>
            <w:pPr>
              <w:spacing w:after="20"/>
            </w:pPr>
            <w:r>
              <w:rPr>
                <w:sz w:val="16"/>
              </w:rPr>
              <w:t>Queue</w:t>
            </w:r>
          </w:p>
        </w:tc>
        <w:tc>
          <w:tcPr>
            <w:tcW w:w="5083" w:type="dxa"/>
            <w:tcMar>
              <w:top w:w="80" w:type="dxa"/>
              <w:start w:w="100" w:type="dxa"/>
              <w:bottom w:w="80" w:type="dxa"/>
              <w:end w:w="100" w:type="dxa"/>
            </w:tcMar>
            <w:vAlign w:val="center"/>
            <w:shd w:fill="EAF4F7"/>
          </w:tcPr>
          <w:p>
            <w:pPr>
              <w:spacing w:after="20"/>
            </w:pPr>
            <w:r>
              <w:rPr>
                <w:sz w:val="16"/>
              </w:rPr>
              <w:t>Buffer holding messages for a consumer</w:t>
            </w:r>
          </w:p>
        </w:tc>
      </w:tr>
      <w:tr>
        <w:trPr>
          <w:trHeight w:hRule="atLeast"/>
        </w:trPr>
        <w:tc>
          <w:tcPr>
            <w:tcW w:w="5083" w:type="dxa"/>
            <w:tcMar>
              <w:top w:w="80" w:type="dxa"/>
              <w:start w:w="100" w:type="dxa"/>
              <w:bottom w:w="80" w:type="dxa"/>
              <w:end w:w="100" w:type="dxa"/>
            </w:tcMar>
            <w:vAlign w:val="center"/>
          </w:tcPr>
          <w:p>
            <w:pPr>
              <w:spacing w:after="20"/>
            </w:pPr>
            <w:r>
              <w:rPr>
                <w:sz w:val="16"/>
              </w:rPr>
              <w:t>Consumer</w:t>
            </w:r>
          </w:p>
        </w:tc>
        <w:tc>
          <w:tcPr>
            <w:tcW w:w="5083" w:type="dxa"/>
            <w:tcMar>
              <w:top w:w="80" w:type="dxa"/>
              <w:start w:w="100" w:type="dxa"/>
              <w:bottom w:w="80" w:type="dxa"/>
              <w:end w:w="100" w:type="dxa"/>
            </w:tcMar>
            <w:vAlign w:val="center"/>
          </w:tcPr>
          <w:p>
            <w:pPr>
              <w:spacing w:after="20"/>
            </w:pPr>
            <w:r>
              <w:rPr>
                <w:sz w:val="16"/>
              </w:rPr>
              <w:t>CPI iFlow, BTP app, external system, or supported ABAP consumer</w:t>
            </w:r>
          </w:p>
        </w:tc>
      </w:tr>
      <w:tr>
        <w:trPr>
          <w:trHeight w:hRule="atLeast"/>
        </w:trPr>
        <w:tc>
          <w:tcPr>
            <w:tcW w:w="5083" w:type="dxa"/>
            <w:tcMar>
              <w:top w:w="80" w:type="dxa"/>
              <w:start w:w="100" w:type="dxa"/>
              <w:bottom w:w="80" w:type="dxa"/>
              <w:end w:w="100" w:type="dxa"/>
            </w:tcMar>
            <w:vAlign w:val="center"/>
            <w:shd w:fill="EAF4F7"/>
          </w:tcPr>
          <w:p>
            <w:pPr>
              <w:spacing w:after="20"/>
            </w:pPr>
            <w:r>
              <w:rPr>
                <w:sz w:val="16"/>
              </w:rPr>
              <w:t>Acknowledgment</w:t>
            </w:r>
          </w:p>
        </w:tc>
        <w:tc>
          <w:tcPr>
            <w:tcW w:w="5083" w:type="dxa"/>
            <w:tcMar>
              <w:top w:w="80" w:type="dxa"/>
              <w:start w:w="100" w:type="dxa"/>
              <w:bottom w:w="80" w:type="dxa"/>
              <w:end w:w="100" w:type="dxa"/>
            </w:tcMar>
            <w:vAlign w:val="center"/>
            <w:shd w:fill="EAF4F7"/>
          </w:tcPr>
          <w:p>
            <w:pPr>
              <w:spacing w:after="20"/>
            </w:pPr>
            <w:r>
              <w:rPr>
                <w:sz w:val="16"/>
              </w:rPr>
              <w:t>Confirmation that processing reached the required stage</w:t>
            </w:r>
          </w:p>
        </w:tc>
      </w:tr>
      <w:tr>
        <w:trPr>
          <w:trHeight w:hRule="atLeast"/>
        </w:trPr>
        <w:tc>
          <w:tcPr>
            <w:tcW w:w="5083" w:type="dxa"/>
            <w:tcMar>
              <w:top w:w="80" w:type="dxa"/>
              <w:start w:w="100" w:type="dxa"/>
              <w:bottom w:w="80" w:type="dxa"/>
              <w:end w:w="100" w:type="dxa"/>
            </w:tcMar>
            <w:vAlign w:val="center"/>
          </w:tcPr>
          <w:p>
            <w:pPr>
              <w:spacing w:after="20"/>
            </w:pPr>
            <w:r>
              <w:rPr>
                <w:sz w:val="16"/>
              </w:rPr>
              <w:t>Correlation ID</w:t>
            </w:r>
          </w:p>
        </w:tc>
        <w:tc>
          <w:tcPr>
            <w:tcW w:w="5083" w:type="dxa"/>
            <w:tcMar>
              <w:top w:w="80" w:type="dxa"/>
              <w:start w:w="100" w:type="dxa"/>
              <w:bottom w:w="80" w:type="dxa"/>
              <w:end w:w="100" w:type="dxa"/>
            </w:tcMar>
            <w:vAlign w:val="center"/>
          </w:tcPr>
          <w:p>
            <w:pPr>
              <w:spacing w:after="20"/>
            </w:pPr>
            <w:r>
              <w:rPr>
                <w:sz w:val="16"/>
              </w:rPr>
              <w:t>Trace key connecting ABAP, broker, CPI, and target logs</w:t>
            </w:r>
          </w:p>
        </w:tc>
      </w:tr>
      <w:tr>
        <w:trPr>
          <w:trHeight w:hRule="atLeast"/>
        </w:trPr>
        <w:tc>
          <w:tcPr>
            <w:tcW w:w="5083" w:type="dxa"/>
            <w:tcMar>
              <w:top w:w="80" w:type="dxa"/>
              <w:start w:w="100" w:type="dxa"/>
              <w:bottom w:w="80" w:type="dxa"/>
              <w:end w:w="100" w:type="dxa"/>
            </w:tcMar>
            <w:vAlign w:val="center"/>
            <w:shd w:fill="EAF4F7"/>
          </w:tcPr>
          <w:p>
            <w:pPr>
              <w:spacing w:after="20"/>
            </w:pPr>
            <w:r>
              <w:rPr>
                <w:sz w:val="16"/>
              </w:rPr>
              <w:t>Idempotency</w:t>
            </w:r>
          </w:p>
        </w:tc>
        <w:tc>
          <w:tcPr>
            <w:tcW w:w="5083" w:type="dxa"/>
            <w:tcMar>
              <w:top w:w="80" w:type="dxa"/>
              <w:start w:w="100" w:type="dxa"/>
              <w:bottom w:w="80" w:type="dxa"/>
              <w:end w:w="100" w:type="dxa"/>
            </w:tcMar>
            <w:vAlign w:val="center"/>
            <w:shd w:fill="EAF4F7"/>
          </w:tcPr>
          <w:p>
            <w:pPr>
              <w:spacing w:after="20"/>
            </w:pPr>
            <w:r>
              <w:rPr>
                <w:sz w:val="16"/>
              </w:rPr>
              <w:t>Same event can arrive twice without double-posting</w:t>
            </w:r>
          </w:p>
        </w:tc>
      </w:tr>
    </w:tbl>
    <w:p>
      <w:pPr>
        <w:spacing w:after="20"/>
      </w:pPr>
    </w:p>
    <w:p>
      <w:r>
        <w:t>A queue buffers events until the consumer can process them. Events only reach that queue when a matching topic binding and subscription exist.</w:t>
      </w:r>
    </w:p>
    <w:p>
      <w:pPr>
        <w:pStyle w:val="Heading1"/>
      </w:pPr>
      <w:r>
        <w:t>3. Landscape Differences</w:t>
      </w:r>
    </w:p>
    <w:tbl>
      <w:tblPr>
        <w:tblStyle w:val="TableGrid"/>
        <w:tblW w:w="0" w:type="auto"/>
        <w:jc w:val="center"/>
        <w:tblLook w:val="04A0" w:firstRow="1" w:lastRow="0" w:firstColumn="1" w:lastColumn="0" w:noHBand="0" w:noVBand="1"/>
      </w:tblPr>
      <w:tblGrid>
        <w:gridCol w:w="2541"/>
        <w:gridCol w:w="2541"/>
        <w:gridCol w:w="2541"/>
        <w:gridCol w:w="2541"/>
      </w:tblGrid>
      <w:tr>
        <w:trPr>
          <w:trHeight w:hRule="atLeast"/>
          <w:tblHeader w:val="true"/>
        </w:trPr>
        <w:tc>
          <w:tcPr>
            <w:tcW w:w="2541" w:type="dxa"/>
            <w:shd w:fill="0B3768"/>
            <w:tcMar>
              <w:top w:w="80" w:type="dxa"/>
              <w:start w:w="100" w:type="dxa"/>
              <w:bottom w:w="80" w:type="dxa"/>
              <w:end w:w="100" w:type="dxa"/>
            </w:tcMar>
            <w:vAlign w:val="center"/>
          </w:tcPr>
          <w:p>
            <w:r>
              <w:rPr>
                <w:b/>
                <w:color w:val="FFFFFF"/>
                <w:sz w:val="17"/>
              </w:rPr>
              <w:t>Landscape</w:t>
            </w:r>
          </w:p>
        </w:tc>
        <w:tc>
          <w:tcPr>
            <w:tcW w:w="2541" w:type="dxa"/>
            <w:shd w:fill="0B3768"/>
            <w:tcMar>
              <w:top w:w="80" w:type="dxa"/>
              <w:start w:w="100" w:type="dxa"/>
              <w:bottom w:w="80" w:type="dxa"/>
              <w:end w:w="100" w:type="dxa"/>
            </w:tcMar>
            <w:vAlign w:val="center"/>
          </w:tcPr>
          <w:p>
            <w:r>
              <w:rPr>
                <w:b/>
                <w:color w:val="FFFFFF"/>
                <w:sz w:val="17"/>
              </w:rPr>
              <w:t>Main developer tool</w:t>
            </w:r>
          </w:p>
        </w:tc>
        <w:tc>
          <w:tcPr>
            <w:tcW w:w="2541" w:type="dxa"/>
            <w:shd w:fill="0B3768"/>
            <w:tcMar>
              <w:top w:w="80" w:type="dxa"/>
              <w:start w:w="100" w:type="dxa"/>
              <w:bottom w:w="80" w:type="dxa"/>
              <w:end w:w="100" w:type="dxa"/>
            </w:tcMar>
            <w:vAlign w:val="center"/>
          </w:tcPr>
          <w:p>
            <w:r>
              <w:rPr>
                <w:b/>
                <w:color w:val="FFFFFF"/>
                <w:sz w:val="17"/>
              </w:rPr>
              <w:t>Configuration style</w:t>
            </w:r>
          </w:p>
        </w:tc>
        <w:tc>
          <w:tcPr>
            <w:tcW w:w="2541" w:type="dxa"/>
            <w:shd w:fill="0B3768"/>
            <w:tcMar>
              <w:top w:w="80" w:type="dxa"/>
              <w:start w:w="100" w:type="dxa"/>
              <w:bottom w:w="80" w:type="dxa"/>
              <w:end w:w="100" w:type="dxa"/>
            </w:tcMar>
            <w:vAlign w:val="center"/>
          </w:tcPr>
          <w:p>
            <w:r>
              <w:rPr>
                <w:b/>
                <w:color w:val="FFFFFF"/>
                <w:sz w:val="17"/>
              </w:rPr>
              <w:t>Event development</w:t>
            </w:r>
          </w:p>
        </w:tc>
      </w:tr>
      <w:tr>
        <w:trPr>
          <w:trHeight w:hRule="atLeast"/>
        </w:trPr>
        <w:tc>
          <w:tcPr>
            <w:tcW w:w="2541" w:type="dxa"/>
            <w:tcMar>
              <w:top w:w="80" w:type="dxa"/>
              <w:start w:w="100" w:type="dxa"/>
              <w:bottom w:w="80" w:type="dxa"/>
              <w:end w:w="100" w:type="dxa"/>
            </w:tcMar>
            <w:vAlign w:val="center"/>
          </w:tcPr>
          <w:p>
            <w:pPr>
              <w:spacing w:after="20"/>
            </w:pPr>
            <w:r>
              <w:rPr>
                <w:sz w:val="16"/>
              </w:rPr>
              <w:t>S/4HANA on-premise</w:t>
            </w:r>
          </w:p>
        </w:tc>
        <w:tc>
          <w:tcPr>
            <w:tcW w:w="2541" w:type="dxa"/>
            <w:tcMar>
              <w:top w:w="80" w:type="dxa"/>
              <w:start w:w="100" w:type="dxa"/>
              <w:bottom w:w="80" w:type="dxa"/>
              <w:end w:w="100" w:type="dxa"/>
            </w:tcMar>
            <w:vAlign w:val="center"/>
          </w:tcPr>
          <w:p>
            <w:pPr>
              <w:spacing w:after="20"/>
            </w:pPr>
            <w:r>
              <w:rPr>
                <w:sz w:val="16"/>
              </w:rPr>
              <w:t>ADT + SAP GUI</w:t>
            </w:r>
          </w:p>
        </w:tc>
        <w:tc>
          <w:tcPr>
            <w:tcW w:w="2541" w:type="dxa"/>
            <w:tcMar>
              <w:top w:w="80" w:type="dxa"/>
              <w:start w:w="100" w:type="dxa"/>
              <w:bottom w:w="80" w:type="dxa"/>
              <w:end w:w="100" w:type="dxa"/>
            </w:tcMar>
            <w:vAlign w:val="center"/>
          </w:tcPr>
          <w:p>
            <w:pPr>
              <w:spacing w:after="20"/>
            </w:pPr>
            <w:r>
              <w:rPr>
                <w:sz w:val="16"/>
              </w:rPr>
              <w:t>/IWXBE/CONFIG, /IWXBE/OUTBOUND_CFG, SM59, STRUST, SPRO</w:t>
            </w:r>
          </w:p>
        </w:tc>
        <w:tc>
          <w:tcPr>
            <w:tcW w:w="2541" w:type="dxa"/>
            <w:tcMar>
              <w:top w:w="80" w:type="dxa"/>
              <w:start w:w="100" w:type="dxa"/>
              <w:bottom w:w="80" w:type="dxa"/>
              <w:end w:w="100" w:type="dxa"/>
            </w:tcMar>
            <w:vAlign w:val="center"/>
          </w:tcPr>
          <w:p>
            <w:pPr>
              <w:spacing w:after="20"/>
            </w:pPr>
            <w:r>
              <w:rPr>
                <w:sz w:val="16"/>
              </w:rPr>
              <w:t>Standard events; RAP where release supports it; older add-on only for applicable legacy landscapes</w:t>
            </w:r>
          </w:p>
        </w:tc>
      </w:tr>
      <w:tr>
        <w:trPr>
          <w:trHeight w:hRule="atLeast"/>
        </w:trPr>
        <w:tc>
          <w:tcPr>
            <w:tcW w:w="2541" w:type="dxa"/>
            <w:tcMar>
              <w:top w:w="80" w:type="dxa"/>
              <w:start w:w="100" w:type="dxa"/>
              <w:bottom w:w="80" w:type="dxa"/>
              <w:end w:w="100" w:type="dxa"/>
            </w:tcMar>
            <w:vAlign w:val="center"/>
            <w:shd w:fill="EAF4F7"/>
          </w:tcPr>
          <w:p>
            <w:pPr>
              <w:spacing w:after="20"/>
            </w:pPr>
            <w:r>
              <w:rPr>
                <w:sz w:val="16"/>
              </w:rPr>
              <w:t>S/4HANA Cloud Private Edition</w:t>
            </w:r>
          </w:p>
        </w:tc>
        <w:tc>
          <w:tcPr>
            <w:tcW w:w="2541" w:type="dxa"/>
            <w:tcMar>
              <w:top w:w="80" w:type="dxa"/>
              <w:start w:w="100" w:type="dxa"/>
              <w:bottom w:w="80" w:type="dxa"/>
              <w:end w:w="100" w:type="dxa"/>
            </w:tcMar>
            <w:vAlign w:val="center"/>
            <w:shd w:fill="EAF4F7"/>
          </w:tcPr>
          <w:p>
            <w:pPr>
              <w:spacing w:after="20"/>
            </w:pPr>
            <w:r>
              <w:rPr>
                <w:sz w:val="16"/>
              </w:rPr>
              <w:t>ADT + SAP GUI/Fiori</w:t>
            </w:r>
          </w:p>
        </w:tc>
        <w:tc>
          <w:tcPr>
            <w:tcW w:w="2541" w:type="dxa"/>
            <w:tcMar>
              <w:top w:w="80" w:type="dxa"/>
              <w:start w:w="100" w:type="dxa"/>
              <w:bottom w:w="80" w:type="dxa"/>
              <w:end w:w="100" w:type="dxa"/>
            </w:tcMar>
            <w:vAlign w:val="center"/>
            <w:shd w:fill="EAF4F7"/>
          </w:tcPr>
          <w:p>
            <w:pPr>
              <w:spacing w:after="20"/>
            </w:pPr>
            <w:r>
              <w:rPr>
                <w:sz w:val="16"/>
              </w:rPr>
              <w:t>Similar Enterprise Event Enablement concepts; release-specific configuration</w:t>
            </w:r>
          </w:p>
        </w:tc>
        <w:tc>
          <w:tcPr>
            <w:tcW w:w="2541" w:type="dxa"/>
            <w:tcMar>
              <w:top w:w="80" w:type="dxa"/>
              <w:start w:w="100" w:type="dxa"/>
              <w:bottom w:w="80" w:type="dxa"/>
              <w:end w:w="100" w:type="dxa"/>
            </w:tcMar>
            <w:vAlign w:val="center"/>
            <w:shd w:fill="EAF4F7"/>
          </w:tcPr>
          <w:p>
            <w:pPr>
              <w:spacing w:after="20"/>
            </w:pPr>
            <w:r>
              <w:rPr>
                <w:sz w:val="16"/>
              </w:rPr>
              <w:t>Standard events and release-supported RAP</w:t>
            </w:r>
          </w:p>
        </w:tc>
      </w:tr>
      <w:tr>
        <w:trPr>
          <w:trHeight w:hRule="atLeast"/>
        </w:trPr>
        <w:tc>
          <w:tcPr>
            <w:tcW w:w="2541" w:type="dxa"/>
            <w:tcMar>
              <w:top w:w="80" w:type="dxa"/>
              <w:start w:w="100" w:type="dxa"/>
              <w:bottom w:w="80" w:type="dxa"/>
              <w:end w:w="100" w:type="dxa"/>
            </w:tcMar>
            <w:vAlign w:val="center"/>
          </w:tcPr>
          <w:p>
            <w:pPr>
              <w:spacing w:after="20"/>
            </w:pPr>
            <w:r>
              <w:rPr>
                <w:sz w:val="16"/>
              </w:rPr>
              <w:t>S/4HANA Cloud Public Edition</w:t>
            </w:r>
          </w:p>
        </w:tc>
        <w:tc>
          <w:tcPr>
            <w:tcW w:w="2541" w:type="dxa"/>
            <w:tcMar>
              <w:top w:w="80" w:type="dxa"/>
              <w:start w:w="100" w:type="dxa"/>
              <w:bottom w:w="80" w:type="dxa"/>
              <w:end w:w="100" w:type="dxa"/>
            </w:tcMar>
            <w:vAlign w:val="center"/>
          </w:tcPr>
          <w:p>
            <w:pPr>
              <w:spacing w:after="20"/>
            </w:pPr>
            <w:r>
              <w:rPr>
                <w:sz w:val="16"/>
              </w:rPr>
              <w:t>ADT for developer extensibility; Fiori communication apps</w:t>
            </w:r>
          </w:p>
        </w:tc>
        <w:tc>
          <w:tcPr>
            <w:tcW w:w="2541" w:type="dxa"/>
            <w:tcMar>
              <w:top w:w="80" w:type="dxa"/>
              <w:start w:w="100" w:type="dxa"/>
              <w:bottom w:w="80" w:type="dxa"/>
              <w:end w:w="100" w:type="dxa"/>
            </w:tcMar>
            <w:vAlign w:val="center"/>
          </w:tcPr>
          <w:p>
            <w:pPr>
              <w:spacing w:after="20"/>
            </w:pPr>
            <w:r>
              <w:rPr>
                <w:sz w:val="16"/>
              </w:rPr>
              <w:t>Communication system, arrangement, channel, outbound topics</w:t>
            </w:r>
          </w:p>
        </w:tc>
        <w:tc>
          <w:tcPr>
            <w:tcW w:w="2541" w:type="dxa"/>
            <w:tcMar>
              <w:top w:w="80" w:type="dxa"/>
              <w:start w:w="100" w:type="dxa"/>
              <w:bottom w:w="80" w:type="dxa"/>
              <w:end w:w="100" w:type="dxa"/>
            </w:tcMar>
            <w:vAlign w:val="center"/>
          </w:tcPr>
          <w:p>
            <w:pPr>
              <w:spacing w:after="20"/>
            </w:pPr>
            <w:r>
              <w:rPr>
                <w:sz w:val="16"/>
              </w:rPr>
              <w:t>Released standard events and ABAP Cloud/RAP events</w:t>
            </w:r>
          </w:p>
        </w:tc>
      </w:tr>
      <w:tr>
        <w:trPr>
          <w:trHeight w:hRule="atLeast"/>
        </w:trPr>
        <w:tc>
          <w:tcPr>
            <w:tcW w:w="2541" w:type="dxa"/>
            <w:tcMar>
              <w:top w:w="80" w:type="dxa"/>
              <w:start w:w="100" w:type="dxa"/>
              <w:bottom w:w="80" w:type="dxa"/>
              <w:end w:w="100" w:type="dxa"/>
            </w:tcMar>
            <w:vAlign w:val="center"/>
            <w:shd w:fill="EAF4F7"/>
          </w:tcPr>
          <w:p>
            <w:pPr>
              <w:spacing w:after="20"/>
            </w:pPr>
            <w:r>
              <w:rPr>
                <w:sz w:val="16"/>
              </w:rPr>
              <w:t>SAP BTP ABAP Environment</w:t>
            </w:r>
          </w:p>
        </w:tc>
        <w:tc>
          <w:tcPr>
            <w:tcW w:w="2541" w:type="dxa"/>
            <w:tcMar>
              <w:top w:w="80" w:type="dxa"/>
              <w:start w:w="100" w:type="dxa"/>
              <w:bottom w:w="80" w:type="dxa"/>
              <w:end w:w="100" w:type="dxa"/>
            </w:tcMar>
            <w:vAlign w:val="center"/>
            <w:shd w:fill="EAF4F7"/>
          </w:tcPr>
          <w:p>
            <w:pPr>
              <w:spacing w:after="20"/>
            </w:pPr>
            <w:r>
              <w:rPr>
                <w:sz w:val="16"/>
              </w:rPr>
              <w:t>ADT</w:t>
            </w:r>
          </w:p>
        </w:tc>
        <w:tc>
          <w:tcPr>
            <w:tcW w:w="2541" w:type="dxa"/>
            <w:tcMar>
              <w:top w:w="80" w:type="dxa"/>
              <w:start w:w="100" w:type="dxa"/>
              <w:bottom w:w="80" w:type="dxa"/>
              <w:end w:w="100" w:type="dxa"/>
            </w:tcMar>
            <w:vAlign w:val="center"/>
            <w:shd w:fill="EAF4F7"/>
          </w:tcPr>
          <w:p>
            <w:pPr>
              <w:spacing w:after="20"/>
            </w:pPr>
            <w:r>
              <w:rPr>
                <w:sz w:val="16"/>
              </w:rPr>
              <w:t>Communication arrangements and event infrastructure</w:t>
            </w:r>
          </w:p>
        </w:tc>
        <w:tc>
          <w:tcPr>
            <w:tcW w:w="2541" w:type="dxa"/>
            <w:tcMar>
              <w:top w:w="80" w:type="dxa"/>
              <w:start w:w="100" w:type="dxa"/>
              <w:bottom w:w="80" w:type="dxa"/>
              <w:end w:w="100" w:type="dxa"/>
            </w:tcMar>
            <w:vAlign w:val="center"/>
            <w:shd w:fill="EAF4F7"/>
          </w:tcPr>
          <w:p>
            <w:pPr>
              <w:spacing w:after="20"/>
            </w:pPr>
            <w:r>
              <w:rPr>
                <w:sz w:val="16"/>
              </w:rPr>
              <w:t>RAP Business Events and Event Consumption Models</w:t>
            </w:r>
          </w:p>
        </w:tc>
      </w:tr>
    </w:tbl>
    <w:p>
      <w:pPr>
        <w:spacing w:after="20"/>
      </w:pPr>
    </w:p>
    <w:p>
      <w:r>
        <w:t>The older SAP NetWeaver Event Enablement add-on is a separate legacy option for applicable NetWeaver releases. Do not confuse it with modern S/4HANA Enterprise Event Enablement.</w:t>
      </w:r>
    </w:p>
    <w:p>
      <w:pPr>
        <w:pStyle w:val="Heading1"/>
      </w:pPr>
      <w:r>
        <w:t>4. Business Events in SAP</w:t>
      </w:r>
    </w:p>
    <w:p>
      <w:pPr>
        <w:pStyle w:val="Heading2"/>
      </w:pPr>
      <w:r>
        <w:t>Verified examples</w:t>
      </w:r>
    </w:p>
    <w:tbl>
      <w:tblPr>
        <w:tblStyle w:val="TableGrid"/>
        <w:tblW w:w="0" w:type="auto"/>
        <w:jc w:val="center"/>
        <w:tblLook w:val="04A0" w:firstRow="1" w:lastRow="0" w:firstColumn="1" w:lastColumn="0" w:noHBand="0" w:noVBand="1"/>
      </w:tblPr>
      <w:tblGrid>
        <w:gridCol w:w="5083"/>
        <w:gridCol w:w="5083"/>
      </w:tblGrid>
      <w:tr>
        <w:trPr>
          <w:trHeight w:hRule="atLeast"/>
          <w:tblHeader w:val="true"/>
        </w:trPr>
        <w:tc>
          <w:tcPr>
            <w:tcW w:w="5083" w:type="dxa"/>
            <w:shd w:fill="0B3768"/>
            <w:tcMar>
              <w:top w:w="80" w:type="dxa"/>
              <w:start w:w="100" w:type="dxa"/>
              <w:bottom w:w="80" w:type="dxa"/>
              <w:end w:w="100" w:type="dxa"/>
            </w:tcMar>
            <w:vAlign w:val="center"/>
          </w:tcPr>
          <w:p>
            <w:r>
              <w:rPr>
                <w:b/>
                <w:color w:val="FFFFFF"/>
                <w:sz w:val="17"/>
              </w:rPr>
              <w:t>Object</w:t>
            </w:r>
          </w:p>
        </w:tc>
        <w:tc>
          <w:tcPr>
            <w:tcW w:w="5083" w:type="dxa"/>
            <w:shd w:fill="0B3768"/>
            <w:tcMar>
              <w:top w:w="80" w:type="dxa"/>
              <w:start w:w="100" w:type="dxa"/>
              <w:bottom w:w="80" w:type="dxa"/>
              <w:end w:w="100" w:type="dxa"/>
            </w:tcMar>
            <w:vAlign w:val="center"/>
          </w:tcPr>
          <w:p>
            <w:r>
              <w:rPr>
                <w:b/>
                <w:color w:val="FFFFFF"/>
                <w:sz w:val="17"/>
              </w:rPr>
              <w:t>Verified standard events in reviewed official documentation</w:t>
            </w:r>
          </w:p>
        </w:tc>
      </w:tr>
      <w:tr>
        <w:trPr>
          <w:trHeight w:hRule="atLeast"/>
        </w:trPr>
        <w:tc>
          <w:tcPr>
            <w:tcW w:w="5083" w:type="dxa"/>
            <w:tcMar>
              <w:top w:w="80" w:type="dxa"/>
              <w:start w:w="100" w:type="dxa"/>
              <w:bottom w:w="80" w:type="dxa"/>
              <w:end w:w="100" w:type="dxa"/>
            </w:tcMar>
            <w:vAlign w:val="center"/>
          </w:tcPr>
          <w:p>
            <w:pPr>
              <w:spacing w:after="20"/>
            </w:pPr>
            <w:r>
              <w:rPr>
                <w:sz w:val="16"/>
              </w:rPr>
              <w:t>Sales Order</w:t>
            </w:r>
          </w:p>
        </w:tc>
        <w:tc>
          <w:tcPr>
            <w:tcW w:w="5083" w:type="dxa"/>
            <w:tcMar>
              <w:top w:w="80" w:type="dxa"/>
              <w:start w:w="100" w:type="dxa"/>
              <w:bottom w:w="80" w:type="dxa"/>
              <w:end w:w="100" w:type="dxa"/>
            </w:tcMar>
            <w:vAlign w:val="center"/>
          </w:tcPr>
          <w:p>
            <w:pPr>
              <w:spacing w:after="20"/>
            </w:pPr>
            <w:r>
              <w:rPr>
                <w:sz w:val="16"/>
              </w:rPr>
              <w:t>Created, Changed, Deleted, status events, item events</w:t>
            </w:r>
          </w:p>
        </w:tc>
      </w:tr>
      <w:tr>
        <w:trPr>
          <w:trHeight w:hRule="atLeast"/>
        </w:trPr>
        <w:tc>
          <w:tcPr>
            <w:tcW w:w="5083" w:type="dxa"/>
            <w:tcMar>
              <w:top w:w="80" w:type="dxa"/>
              <w:start w:w="100" w:type="dxa"/>
              <w:bottom w:w="80" w:type="dxa"/>
              <w:end w:w="100" w:type="dxa"/>
            </w:tcMar>
            <w:vAlign w:val="center"/>
            <w:shd w:fill="EAF4F7"/>
          </w:tcPr>
          <w:p>
            <w:pPr>
              <w:spacing w:after="20"/>
            </w:pPr>
            <w:r>
              <w:rPr>
                <w:sz w:val="16"/>
              </w:rPr>
              <w:t>Purchase Order</w:t>
            </w:r>
          </w:p>
        </w:tc>
        <w:tc>
          <w:tcPr>
            <w:tcW w:w="5083" w:type="dxa"/>
            <w:tcMar>
              <w:top w:w="80" w:type="dxa"/>
              <w:start w:w="100" w:type="dxa"/>
              <w:bottom w:w="80" w:type="dxa"/>
              <w:end w:w="100" w:type="dxa"/>
            </w:tcMar>
            <w:vAlign w:val="center"/>
            <w:shd w:fill="EAF4F7"/>
          </w:tcPr>
          <w:p>
            <w:pPr>
              <w:spacing w:after="20"/>
            </w:pPr>
            <w:r>
              <w:rPr>
                <w:sz w:val="16"/>
              </w:rPr>
              <w:t>Created, Changed, approved/rejected and item events</w:t>
            </w:r>
          </w:p>
        </w:tc>
      </w:tr>
      <w:tr>
        <w:trPr>
          <w:trHeight w:hRule="atLeast"/>
        </w:trPr>
        <w:tc>
          <w:tcPr>
            <w:tcW w:w="5083" w:type="dxa"/>
            <w:tcMar>
              <w:top w:w="80" w:type="dxa"/>
              <w:start w:w="100" w:type="dxa"/>
              <w:bottom w:w="80" w:type="dxa"/>
              <w:end w:w="100" w:type="dxa"/>
            </w:tcMar>
            <w:vAlign w:val="center"/>
          </w:tcPr>
          <w:p>
            <w:pPr>
              <w:spacing w:after="20"/>
            </w:pPr>
            <w:r>
              <w:rPr>
                <w:sz w:val="16"/>
              </w:rPr>
              <w:t>Business Partner</w:t>
            </w:r>
          </w:p>
        </w:tc>
        <w:tc>
          <w:tcPr>
            <w:tcW w:w="5083" w:type="dxa"/>
            <w:tcMar>
              <w:top w:w="80" w:type="dxa"/>
              <w:start w:w="100" w:type="dxa"/>
              <w:bottom w:w="80" w:type="dxa"/>
              <w:end w:w="100" w:type="dxa"/>
            </w:tcMar>
            <w:vAlign w:val="center"/>
          </w:tcPr>
          <w:p>
            <w:pPr>
              <w:spacing w:after="20"/>
            </w:pPr>
            <w:r>
              <w:rPr>
                <w:sz w:val="16"/>
              </w:rPr>
              <w:t>Created, Changed</w:t>
            </w:r>
          </w:p>
        </w:tc>
      </w:tr>
      <w:tr>
        <w:trPr>
          <w:trHeight w:hRule="atLeast"/>
        </w:trPr>
        <w:tc>
          <w:tcPr>
            <w:tcW w:w="5083" w:type="dxa"/>
            <w:tcMar>
              <w:top w:w="80" w:type="dxa"/>
              <w:start w:w="100" w:type="dxa"/>
              <w:bottom w:w="80" w:type="dxa"/>
              <w:end w:w="100" w:type="dxa"/>
            </w:tcMar>
            <w:vAlign w:val="center"/>
            <w:shd w:fill="EAF4F7"/>
          </w:tcPr>
          <w:p>
            <w:pPr>
              <w:spacing w:after="20"/>
            </w:pPr>
            <w:r>
              <w:rPr>
                <w:sz w:val="16"/>
              </w:rPr>
              <w:t>Outbound Delivery</w:t>
            </w:r>
          </w:p>
        </w:tc>
        <w:tc>
          <w:tcPr>
            <w:tcW w:w="5083" w:type="dxa"/>
            <w:tcMar>
              <w:top w:w="80" w:type="dxa"/>
              <w:start w:w="100" w:type="dxa"/>
              <w:bottom w:w="80" w:type="dxa"/>
              <w:end w:w="100" w:type="dxa"/>
            </w:tcMar>
            <w:vAlign w:val="center"/>
            <w:shd w:fill="EAF4F7"/>
          </w:tcPr>
          <w:p>
            <w:pPr>
              <w:spacing w:after="20"/>
            </w:pPr>
            <w:r>
              <w:rPr>
                <w:sz w:val="16"/>
              </w:rPr>
              <w:t>Created, Changed, Deleted, item/status events</w:t>
            </w:r>
          </w:p>
        </w:tc>
      </w:tr>
      <w:tr>
        <w:trPr>
          <w:trHeight w:hRule="atLeast"/>
        </w:trPr>
        <w:tc>
          <w:tcPr>
            <w:tcW w:w="5083" w:type="dxa"/>
            <w:tcMar>
              <w:top w:w="80" w:type="dxa"/>
              <w:start w:w="100" w:type="dxa"/>
              <w:bottom w:w="80" w:type="dxa"/>
              <w:end w:w="100" w:type="dxa"/>
            </w:tcMar>
            <w:vAlign w:val="center"/>
          </w:tcPr>
          <w:p>
            <w:pPr>
              <w:spacing w:after="20"/>
            </w:pPr>
            <w:r>
              <w:rPr>
                <w:sz w:val="16"/>
              </w:rPr>
              <w:t>Invoice/Billing Document</w:t>
            </w:r>
          </w:p>
        </w:tc>
        <w:tc>
          <w:tcPr>
            <w:tcW w:w="5083" w:type="dxa"/>
            <w:tcMar>
              <w:top w:w="80" w:type="dxa"/>
              <w:start w:w="100" w:type="dxa"/>
              <w:bottom w:w="80" w:type="dxa"/>
              <w:end w:w="100" w:type="dxa"/>
            </w:tcMar>
            <w:vAlign w:val="center"/>
          </w:tcPr>
          <w:p>
            <w:pPr>
              <w:spacing w:after="20"/>
            </w:pPr>
            <w:r>
              <w:rPr>
                <w:sz w:val="16"/>
              </w:rPr>
              <w:t>Do not assume; verify the exact event for your product/release</w:t>
            </w:r>
          </w:p>
        </w:tc>
      </w:tr>
      <w:tr>
        <w:trPr>
          <w:trHeight w:hRule="atLeast"/>
        </w:trPr>
        <w:tc>
          <w:tcPr>
            <w:tcW w:w="5083" w:type="dxa"/>
            <w:tcMar>
              <w:top w:w="80" w:type="dxa"/>
              <w:start w:w="100" w:type="dxa"/>
              <w:bottom w:w="80" w:type="dxa"/>
              <w:end w:w="100" w:type="dxa"/>
            </w:tcMar>
            <w:vAlign w:val="center"/>
            <w:shd w:fill="EAF4F7"/>
          </w:tcPr>
          <w:p>
            <w:pPr>
              <w:spacing w:after="20"/>
            </w:pPr>
            <w:r>
              <w:rPr>
                <w:sz w:val="16"/>
              </w:rPr>
              <w:t>Material/Product</w:t>
            </w:r>
          </w:p>
        </w:tc>
        <w:tc>
          <w:tcPr>
            <w:tcW w:w="5083" w:type="dxa"/>
            <w:tcMar>
              <w:top w:w="80" w:type="dxa"/>
              <w:start w:w="100" w:type="dxa"/>
              <w:bottom w:w="80" w:type="dxa"/>
              <w:end w:w="100" w:type="dxa"/>
            </w:tcMar>
            <w:vAlign w:val="center"/>
            <w:shd w:fill="EAF4F7"/>
          </w:tcPr>
          <w:p>
            <w:pPr>
              <w:spacing w:after="20"/>
            </w:pPr>
            <w:r>
              <w:rPr>
                <w:sz w:val="16"/>
              </w:rPr>
              <w:t>Do not assume; verify in Business Accelerator Hub and topic value help</w:t>
            </w:r>
          </w:p>
        </w:tc>
      </w:tr>
      <w:tr>
        <w:trPr>
          <w:trHeight w:hRule="atLeast"/>
        </w:trPr>
        <w:tc>
          <w:tcPr>
            <w:tcW w:w="5083" w:type="dxa"/>
            <w:tcMar>
              <w:top w:w="80" w:type="dxa"/>
              <w:start w:w="100" w:type="dxa"/>
              <w:bottom w:w="80" w:type="dxa"/>
              <w:end w:w="100" w:type="dxa"/>
            </w:tcMar>
            <w:vAlign w:val="center"/>
          </w:tcPr>
          <w:p>
            <w:pPr>
              <w:spacing w:after="20"/>
            </w:pPr>
            <w:r>
              <w:rPr>
                <w:sz w:val="16"/>
              </w:rPr>
              <w:t>Inventory/Stock</w:t>
            </w:r>
          </w:p>
        </w:tc>
        <w:tc>
          <w:tcPr>
            <w:tcW w:w="5083" w:type="dxa"/>
            <w:tcMar>
              <w:top w:w="80" w:type="dxa"/>
              <w:start w:w="100" w:type="dxa"/>
              <w:bottom w:w="80" w:type="dxa"/>
              <w:end w:w="100" w:type="dxa"/>
            </w:tcMar>
            <w:vAlign w:val="center"/>
          </w:tcPr>
          <w:p>
            <w:pPr>
              <w:spacing w:after="20"/>
            </w:pPr>
            <w:r>
              <w:rPr>
                <w:sz w:val="16"/>
              </w:rPr>
              <w:t>No exact generic InventoryChanged event verified in the reviewed sources; assess material-document events, APIs, or a custom design</w:t>
            </w:r>
          </w:p>
        </w:tc>
      </w:tr>
    </w:tbl>
    <w:p>
      <w:pPr>
        <w:spacing w:after="20"/>
      </w:pPr>
    </w:p>
    <w:p>
      <w:r>
        <w:t>Official documentation confirms Sales Order Created and includes fields such as event time, sales-order ID, type, sales organization and sold-to party. Purchase Order documentation confirms Created and Changed; Business Partner confirms Created and Changed; Outbound Delivery confirms creation, change, deletion, goods-issue and other status events.</w:t>
      </w:r>
    </w:p>
    <w:p>
      <w:pPr>
        <w:pStyle w:val="Heading2"/>
      </w:pPr>
      <w:r>
        <w:t>How to find an event</w:t>
      </w:r>
    </w:p>
    <w:p>
      <w:pPr>
        <w:ind w:left="317" w:hanging="317"/>
      </w:pPr>
      <w:r>
        <w:rPr>
          <w:b/>
        </w:rPr>
        <w:t xml:space="preserve">1. </w:t>
      </w:r>
      <w:r>
        <w:t>Open SAP Business Accelerator Hub.</w:t>
      </w:r>
    </w:p>
    <w:p>
      <w:pPr>
        <w:ind w:left="317" w:hanging="317"/>
      </w:pPr>
      <w:r>
        <w:rPr>
          <w:b/>
        </w:rPr>
        <w:t xml:space="preserve">2. </w:t>
      </w:r>
      <w:r>
        <w:t>Search the business object, not a guessed topic.</w:t>
      </w:r>
    </w:p>
    <w:p>
      <w:pPr>
        <w:ind w:left="317" w:hanging="317"/>
      </w:pPr>
      <w:r>
        <w:rPr>
          <w:b/>
        </w:rPr>
        <w:t xml:space="preserve">3. </w:t>
      </w:r>
      <w:r>
        <w:t>Open Events or Event Resources.</w:t>
      </w:r>
    </w:p>
    <w:p>
      <w:pPr>
        <w:ind w:left="317" w:hanging="317"/>
      </w:pPr>
      <w:r>
        <w:rPr>
          <w:b/>
        </w:rPr>
        <w:t xml:space="preserve">4. </w:t>
      </w:r>
      <w:r>
        <w:t>Verify the supported product and release, event version, exact topic, AsyncAPI file, payload, and associated API.</w:t>
      </w:r>
    </w:p>
    <w:p>
      <w:pPr>
        <w:ind w:left="317" w:hanging="317"/>
      </w:pPr>
      <w:r>
        <w:rPr>
          <w:b/>
        </w:rPr>
        <w:t xml:space="preserve">5. </w:t>
      </w:r>
      <w:r>
        <w:t>In S/4HANA, confirm the event appears in the outbound-topic value help.</w:t>
      </w:r>
    </w:p>
    <w:p>
      <w:pPr>
        <w:ind w:left="317" w:hanging="317"/>
      </w:pPr>
      <w:r>
        <w:rPr>
          <w:b/>
        </w:rPr>
        <w:t xml:space="preserve">6. </w:t>
      </w:r>
      <w:r>
        <w:t>If it does not appear, do not manually invent it as a standard event.</w:t>
      </w:r>
    </w:p>
    <w:p>
      <w:pPr>
        <w:pStyle w:val="Heading2"/>
      </w:pPr>
      <w:r>
        <w:t>Activation and testing</w:t>
      </w:r>
    </w:p>
    <w:p>
      <w:pPr>
        <w:pStyle w:val="Heading3"/>
      </w:pPr>
      <w:r>
        <w:t>On-premise/private</w:t>
      </w:r>
    </w:p>
    <w:p>
      <w:pPr>
        <w:ind w:left="317" w:hanging="317"/>
      </w:pPr>
      <w:r>
        <w:rPr>
          <w:b/>
        </w:rPr>
        <w:t xml:space="preserve">1. </w:t>
      </w:r>
      <w:r>
        <w:t>Configure or verify channel in /IWXBE/CONFIG.</w:t>
      </w:r>
    </w:p>
    <w:p>
      <w:pPr>
        <w:ind w:left="317" w:hanging="317"/>
      </w:pPr>
      <w:r>
        <w:rPr>
          <w:b/>
        </w:rPr>
        <w:t xml:space="preserve">2. </w:t>
      </w:r>
      <w:r>
        <w:t>Verify channel is active.</w:t>
      </w:r>
    </w:p>
    <w:p>
      <w:pPr>
        <w:ind w:left="317" w:hanging="317"/>
      </w:pPr>
      <w:r>
        <w:rPr>
          <w:b/>
        </w:rPr>
        <w:t xml:space="preserve">3. </w:t>
      </w:r>
      <w:r>
        <w:t>Open /IWXBE/OUTBOUND_CFG.</w:t>
      </w:r>
    </w:p>
    <w:p>
      <w:pPr>
        <w:ind w:left="317" w:hanging="317"/>
      </w:pPr>
      <w:r>
        <w:rPr>
          <w:b/>
        </w:rPr>
        <w:t xml:space="preserve">4. </w:t>
      </w:r>
      <w:r>
        <w:t>Select channel.</w:t>
      </w:r>
    </w:p>
    <w:p>
      <w:pPr>
        <w:ind w:left="317" w:hanging="317"/>
      </w:pPr>
      <w:r>
        <w:rPr>
          <w:b/>
        </w:rPr>
        <w:t xml:space="preserve">5. </w:t>
      </w:r>
      <w:r>
        <w:t>Choose SAP Object Type.</w:t>
      </w:r>
    </w:p>
    <w:p>
      <w:pPr>
        <w:ind w:left="317" w:hanging="317"/>
      </w:pPr>
      <w:r>
        <w:rPr>
          <w:b/>
        </w:rPr>
        <w:t xml:space="preserve">6. </w:t>
      </w:r>
      <w:r>
        <w:t>Bind the required available topic.</w:t>
      </w:r>
    </w:p>
    <w:p>
      <w:pPr>
        <w:ind w:left="317" w:hanging="317"/>
      </w:pPr>
      <w:r>
        <w:rPr>
          <w:b/>
        </w:rPr>
        <w:t xml:space="preserve">7. </w:t>
      </w:r>
      <w:r>
        <w:t>Create matching Event Mesh queue subscription.</w:t>
      </w:r>
    </w:p>
    <w:p>
      <w:pPr>
        <w:ind w:left="317" w:hanging="317"/>
      </w:pPr>
      <w:r>
        <w:rPr>
          <w:b/>
        </w:rPr>
        <w:t xml:space="preserve">8. </w:t>
      </w:r>
      <w:r>
        <w:t>Execute the business transaction.</w:t>
      </w:r>
    </w:p>
    <w:p>
      <w:pPr>
        <w:ind w:left="317" w:hanging="317"/>
      </w:pPr>
      <w:r>
        <w:rPr>
          <w:b/>
        </w:rPr>
        <w:t xml:space="preserve">9. </w:t>
      </w:r>
      <w:r>
        <w:t>Monitor the outbound event.</w:t>
      </w:r>
    </w:p>
    <w:p>
      <w:r>
        <w:t>SAP documents /IWXBE/OUTBOUND_CFG for maintaining outbound topics and /IWXBE/CONFIG for channel activation.</w:t>
      </w:r>
    </w:p>
    <w:p>
      <w:pPr>
        <w:pStyle w:val="Heading3"/>
      </w:pPr>
      <w:r>
        <w:t>Public Cloud/ABAP Cloud</w:t>
      </w:r>
    </w:p>
    <w:p>
      <w:r>
        <w:t>Use the release-specific Communication Systems, Communication Arrangements, channel configuration, outbound-event configuration and Enterprise Event Enablement – Event Monitor apps. The Event Monitor shows configured channels, inbound/outbound events, topic, status, CloudEvent ID, payload and timestamps.</w:t>
      </w:r>
    </w:p>
    <w:p>
      <w:pPr>
        <w:pStyle w:val="Heading1"/>
      </w:pPr>
      <w:r>
        <w:t>5. RAP Business Events</w:t>
      </w:r>
    </w:p>
    <w:p>
      <w:pPr>
        <w:pStyle w:val="Heading2"/>
      </w:pPr>
      <w:r>
        <w:t>End-to-end flow</w:t>
      </w:r>
    </w:p>
    <w:p>
      <w:pPr>
        <w:pStyle w:val="CodeBlock"/>
        <w:shd w:fill="F2F5F7"/>
      </w:pPr>
      <w:r>
        <w:t>CDS Root View Entity</w:t>
        <w:br/>
        <w:t xml:space="preserve">        ↓</w:t>
        <w:br/>
        <w:t>Behavior Definition</w:t>
        <w:br/>
        <w:t xml:space="preserve"> event OrderApproved</w:t>
        <w:br/>
        <w:t xml:space="preserve">        ↓</w:t>
        <w:br/>
        <w:t>Behavior Pool / Saver</w:t>
        <w:br/>
        <w:t xml:space="preserve"> RAISE ENTITY EVENT</w:t>
        <w:br/>
        <w:t xml:space="preserve">        ↓</w:t>
        <w:br/>
        <w:t>Event Binding</w:t>
        <w:br/>
        <w:t>namespace + BO + operation + version</w:t>
        <w:br/>
        <w:t xml:space="preserve">        ↓</w:t>
        <w:br/>
        <w:t>Enterprise Event Infrastructure</w:t>
        <w:br/>
        <w:t xml:space="preserve">        ↓</w:t>
        <w:br/>
        <w:t>Event Mesh Topic → Queue → Consumer</w:t>
      </w:r>
    </w:p>
    <w:p>
      <w:pPr>
        <w:pStyle w:val="Heading2"/>
      </w:pPr>
      <w:r>
        <w:t>Supported development pattern</w:t>
      </w:r>
    </w:p>
    <w:p>
      <w:r>
        <w:t>RAP events may be defined in managed or unmanaged business objects. An event can have no payload parameter or use a CDS abstract entity as its parameter. SAP recommends raising events from saver processing; for managed BOs, with additional save and save_modified are the recommended pattern.</w:t>
      </w:r>
    </w:p>
    <w:p>
      <w:pPr>
        <w:pStyle w:val="Heading3"/>
      </w:pPr>
      <w:r>
        <w:t>Behavior definition template</w:t>
      </w:r>
    </w:p>
    <w:p>
      <w:pPr>
        <w:pStyle w:val="CodeBlock"/>
        <w:shd w:fill="F2F5F7"/>
      </w:pPr>
      <w:r>
        <w:t>managed with additional save implementation</w:t>
        <w:br/>
        <w:t xml:space="preserve">  in class zbp_i_order unique;</w:t>
        <w:br/>
        <w:t>strict ( 2 );</w:t>
        <w:br/>
        <w:br/>
        <w:t>define behavior for ZI_Order alias Order</w:t>
        <w:br/>
        <w:t>persistent table zorder</w:t>
        <w:br/>
        <w:t>lock master</w:t>
        <w:br/>
        <w:t>authorization master ( instance )</w:t>
        <w:br/>
        <w:t>{</w:t>
        <w:br/>
        <w:t xml:space="preserve">  create;</w:t>
        <w:br/>
        <w:t xml:space="preserve">  update;</w:t>
        <w:br/>
        <w:t xml:space="preserve">  delete;</w:t>
        <w:br/>
        <w:br/>
        <w:t xml:space="preserve">  event OrderApproved parameter ZAE_OrderApproved;</w:t>
        <w:br/>
        <w:t>}</w:t>
      </w:r>
    </w:p>
    <w:p>
      <w:pPr>
        <w:pStyle w:val="Heading3"/>
      </w:pPr>
      <w:r>
        <w:t>Abstract payload entity</w:t>
      </w:r>
    </w:p>
    <w:p>
      <w:pPr>
        <w:pStyle w:val="CodeBlock"/>
        <w:shd w:fill="F2F5F7"/>
      </w:pPr>
      <w:r>
        <w:t>define abstract entity ZAE_OrderApproved</w:t>
        <w:br/>
        <w:t>{</w:t>
        <w:br/>
        <w:t xml:space="preserve">  OrderId       : abap.char(10);</w:t>
        <w:br/>
        <w:t xml:space="preserve">  ApprovedBy    : abap.char(12);</w:t>
        <w:br/>
        <w:t xml:space="preserve">  ApprovedAt    : timestampl;</w:t>
        <w:br/>
        <w:t>}</w:t>
      </w:r>
    </w:p>
    <w:p>
      <w:pPr>
        <w:pStyle w:val="Heading3"/>
      </w:pPr>
      <w:r>
        <w:t>Saver implementation template</w:t>
      </w:r>
    </w:p>
    <w:p>
      <w:pPr>
        <w:pStyle w:val="CodeBlock"/>
        <w:shd w:fill="F2F5F7"/>
      </w:pPr>
      <w:r>
        <w:t>METHOD save_modified.</w:t>
        <w:br/>
        <w:br/>
        <w:t xml:space="preserve">  IF update-order IS NOT INITIAL.</w:t>
        <w:br/>
        <w:br/>
        <w:t xml:space="preserve">    RAISE ENTITY EVENT ZI_Order~OrderApproved</w:t>
        <w:br/>
        <w:t xml:space="preserve">      FROM VALUE #(</w:t>
        <w:br/>
        <w:t xml:space="preserve">        FOR ls_order IN update-order</w:t>
        <w:br/>
        <w:t xml:space="preserve">        ( %key = VALUE #( OrderId = ls_order-OrderId )</w:t>
        <w:br/>
        <w:t xml:space="preserve">          %param = VALUE #(</w:t>
        <w:br/>
        <w:t xml:space="preserve">            OrderId    = ls_order-OrderId</w:t>
        <w:br/>
        <w:t xml:space="preserve">            ApprovedBy = sy-uname</w:t>
        <w:br/>
        <w:t xml:space="preserve">            ApprovedAt = utclong_current( ) ) ) ).</w:t>
        <w:br/>
        <w:br/>
        <w:t xml:space="preserve">  ENDIF.</w:t>
        <w:br/>
        <w:br/>
        <w:t>ENDMETHOD.</w:t>
      </w:r>
    </w:p>
    <w:p>
      <w:r>
        <w:t>Important: this uses officially documented RAP syntax, but the Z* names and fields are a release-dependent project template. It compiles only after you create matching CDS entities, persistence, behavior pool and types.</w:t>
      </w:r>
    </w:p>
    <w:p>
      <w:pPr>
        <w:pStyle w:val="Heading3"/>
      </w:pPr>
      <w:r>
        <w:t>Line-by-line meaning</w:t>
      </w:r>
    </w:p>
    <w:p>
      <w:pPr>
        <w:pStyle w:val="ListBullet"/>
      </w:pPr>
      <w:r>
        <w:t>with additional save: requests additional saver logic.</w:t>
      </w:r>
    </w:p>
    <w:p>
      <w:pPr>
        <w:pStyle w:val="ListBullet"/>
      </w:pPr>
      <w:r>
        <w:t>event OrderApproved: declares the business event.</w:t>
      </w:r>
    </w:p>
    <w:p>
      <w:pPr>
        <w:pStyle w:val="ListBullet"/>
      </w:pPr>
      <w:r>
        <w:t>parameter ZAE_OrderApproved: defines the payload structure.</w:t>
      </w:r>
    </w:p>
    <w:p>
      <w:pPr>
        <w:pStyle w:val="ListBullet"/>
      </w:pPr>
      <w:r>
        <w:t>save_modified: runs in RAP save processing.</w:t>
      </w:r>
    </w:p>
    <w:p>
      <w:pPr>
        <w:pStyle w:val="ListBullet"/>
      </w:pPr>
      <w:r>
        <w:t>RAISE ENTITY EVENT: supported EML event-raising statement.</w:t>
      </w:r>
    </w:p>
    <w:p>
      <w:pPr>
        <w:pStyle w:val="ListBullet"/>
      </w:pPr>
      <w:r>
        <w:t>%key: identifies the RAP BO instance.</w:t>
      </w:r>
    </w:p>
    <w:p>
      <w:pPr>
        <w:pStyle w:val="ListBullet"/>
      </w:pPr>
      <w:r>
        <w:t>%param: supplies event payload.</w:t>
      </w:r>
    </w:p>
    <w:p>
      <w:pPr>
        <w:pStyle w:val="ListBullet"/>
      </w:pPr>
      <w:r>
        <w:t>FROM VALUE #( FOR ... ): creates one event record for each applicable instance.</w:t>
      </w:r>
    </w:p>
    <w:p>
      <w:r>
        <w:t>Do not use ordinary OO RAISE EVENT; that is a different ABAP Objects mechanism.</w:t>
      </w:r>
    </w:p>
    <w:p>
      <w:pPr>
        <w:pStyle w:val="Heading2"/>
      </w:pPr>
      <w:r>
        <w:t>Event Binding</w:t>
      </w:r>
    </w:p>
    <w:p>
      <w:r>
        <w:t>Create an Event Binding repository object in ADT. It maps the RAP event to its external namespace, business object, operation and version. Remote events should be released using the applicable C2 contract.</w:t>
      </w:r>
    </w:p>
    <w:p>
      <w:pPr>
        <w:pStyle w:val="Heading2"/>
      </w:pPr>
      <w:r>
        <w:t>Consumption</w:t>
      </w:r>
    </w:p>
    <w:p>
      <w:pPr>
        <w:pStyle w:val="Heading3"/>
      </w:pPr>
      <w:r>
        <w:t>Local consumption</w:t>
      </w:r>
    </w:p>
    <w:p>
      <w:r>
        <w:t>Create a global class FOR EVENTS OF &lt;root_entity&gt;. Its local handler inherits from CL_ABAP_BEHAVIOR_EVENT_HANDLER and defines a FOR ENTITY EVENT method. Local consumption is asynchronous and does not require Event Mesh.</w:t>
      </w:r>
    </w:p>
    <w:p>
      <w:pPr>
        <w:pStyle w:val="Heading3"/>
      </w:pPr>
      <w:r>
        <w:t>Remote consumption</w:t>
      </w:r>
    </w:p>
    <w:p>
      <w:r>
        <w:t>Generate an Event Consumption Model in ADT from an AsyncAPI JSON file. SAP generates abstract entities, behavior definitions, consumer classes, typed interfaces, an inbound service and authorization defaults. Your processing belongs in the generated consumer extension class, not the regeneratable base class.</w:t>
      </w:r>
    </w:p>
    <w:p>
      <w:pPr>
        <w:pStyle w:val="Heading1"/>
      </w:pPr>
      <w:r>
        <w:t>6. Transactions and Tools</w:t>
      </w:r>
    </w:p>
    <w:tbl>
      <w:tblPr>
        <w:tblStyle w:val="TableGrid"/>
        <w:tblW w:w="0" w:type="auto"/>
        <w:jc w:val="center"/>
        <w:tblLook w:val="04A0" w:firstRow="1" w:lastRow="0" w:firstColumn="1" w:lastColumn="0" w:noHBand="0" w:noVBand="1"/>
      </w:tblPr>
      <w:tblGrid>
        <w:gridCol w:w="3389"/>
        <w:gridCol w:w="3389"/>
        <w:gridCol w:w="3389"/>
      </w:tblGrid>
      <w:tr>
        <w:trPr>
          <w:trHeight w:hRule="atLeast"/>
          <w:tblHeader w:val="true"/>
        </w:trPr>
        <w:tc>
          <w:tcPr>
            <w:tcW w:w="3389" w:type="dxa"/>
            <w:shd w:fill="0B3768"/>
            <w:tcMar>
              <w:top w:w="80" w:type="dxa"/>
              <w:start w:w="100" w:type="dxa"/>
              <w:bottom w:w="80" w:type="dxa"/>
              <w:end w:w="100" w:type="dxa"/>
            </w:tcMar>
            <w:vAlign w:val="center"/>
          </w:tcPr>
          <w:p>
            <w:r>
              <w:rPr>
                <w:b/>
                <w:color w:val="FFFFFF"/>
                <w:sz w:val="17"/>
              </w:rPr>
              <w:t>Tool</w:t>
            </w:r>
          </w:p>
        </w:tc>
        <w:tc>
          <w:tcPr>
            <w:tcW w:w="3389" w:type="dxa"/>
            <w:shd w:fill="0B3768"/>
            <w:tcMar>
              <w:top w:w="80" w:type="dxa"/>
              <w:start w:w="100" w:type="dxa"/>
              <w:bottom w:w="80" w:type="dxa"/>
              <w:end w:w="100" w:type="dxa"/>
            </w:tcMar>
            <w:vAlign w:val="center"/>
          </w:tcPr>
          <w:p>
            <w:r>
              <w:rPr>
                <w:b/>
                <w:color w:val="FFFFFF"/>
                <w:sz w:val="17"/>
              </w:rPr>
              <w:t>Purpose</w:t>
            </w:r>
          </w:p>
        </w:tc>
        <w:tc>
          <w:tcPr>
            <w:tcW w:w="3389" w:type="dxa"/>
            <w:shd w:fill="0B3768"/>
            <w:tcMar>
              <w:top w:w="80" w:type="dxa"/>
              <w:start w:w="100" w:type="dxa"/>
              <w:bottom w:w="80" w:type="dxa"/>
              <w:end w:w="100" w:type="dxa"/>
            </w:tcMar>
            <w:vAlign w:val="center"/>
          </w:tcPr>
          <w:p>
            <w:r>
              <w:rPr>
                <w:b/>
                <w:color w:val="FFFFFF"/>
                <w:sz w:val="17"/>
              </w:rPr>
              <w:t>Event Mesh relevance</w:t>
            </w:r>
          </w:p>
        </w:tc>
      </w:tr>
      <w:tr>
        <w:trPr>
          <w:trHeight w:hRule="atLeast"/>
        </w:trPr>
        <w:tc>
          <w:tcPr>
            <w:tcW w:w="3389" w:type="dxa"/>
            <w:tcMar>
              <w:top w:w="80" w:type="dxa"/>
              <w:start w:w="100" w:type="dxa"/>
              <w:bottom w:w="80" w:type="dxa"/>
              <w:end w:w="100" w:type="dxa"/>
            </w:tcMar>
            <w:vAlign w:val="center"/>
          </w:tcPr>
          <w:p>
            <w:pPr>
              <w:spacing w:after="20"/>
            </w:pPr>
            <w:r>
              <w:rPr>
                <w:sz w:val="16"/>
              </w:rPr>
              <w:t>/IWXBE/CONFIG</w:t>
            </w:r>
          </w:p>
        </w:tc>
        <w:tc>
          <w:tcPr>
            <w:tcW w:w="3389" w:type="dxa"/>
            <w:tcMar>
              <w:top w:w="80" w:type="dxa"/>
              <w:start w:w="100" w:type="dxa"/>
              <w:bottom w:w="80" w:type="dxa"/>
              <w:end w:w="100" w:type="dxa"/>
            </w:tcMar>
            <w:vAlign w:val="center"/>
          </w:tcPr>
          <w:p>
            <w:pPr>
              <w:spacing w:after="20"/>
            </w:pPr>
            <w:r>
              <w:rPr>
                <w:sz w:val="16"/>
              </w:rPr>
              <w:t>Channel creation/status/activation</w:t>
            </w:r>
          </w:p>
        </w:tc>
        <w:tc>
          <w:tcPr>
            <w:tcW w:w="3389" w:type="dxa"/>
            <w:tcMar>
              <w:top w:w="80" w:type="dxa"/>
              <w:start w:w="100" w:type="dxa"/>
              <w:bottom w:w="80" w:type="dxa"/>
              <w:end w:w="100" w:type="dxa"/>
            </w:tcMar>
            <w:vAlign w:val="center"/>
          </w:tcPr>
          <w:p>
            <w:pPr>
              <w:spacing w:after="20"/>
            </w:pPr>
            <w:r>
              <w:rPr>
                <w:sz w:val="16"/>
              </w:rPr>
              <w:t>Direct</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/IWXBE/OUTBOUND_CFG</w:t>
            </w:r>
          </w:p>
        </w:tc>
        <w:tc>
          <w:tcPr>
            <w:tcW w:w="3389" w:type="dxa"/>
            <w:tcMar>
              <w:top w:w="80" w:type="dxa"/>
              <w:start w:w="100" w:type="dxa"/>
              <w:bottom w:w="80" w:type="dxa"/>
              <w:end w:w="100" w:type="dxa"/>
            </w:tcMar>
            <w:vAlign w:val="center"/>
            <w:shd w:fill="EAF4F7"/>
          </w:tcPr>
          <w:p>
            <w:pPr>
              <w:spacing w:after="20"/>
            </w:pPr>
            <w:r>
              <w:rPr>
                <w:sz w:val="16"/>
              </w:rPr>
              <w:t>Bind outbound event topics</w:t>
            </w:r>
          </w:p>
        </w:tc>
        <w:tc>
          <w:tcPr>
            <w:tcW w:w="3389" w:type="dxa"/>
            <w:tcMar>
              <w:top w:w="80" w:type="dxa"/>
              <w:start w:w="100" w:type="dxa"/>
              <w:bottom w:w="80" w:type="dxa"/>
              <w:end w:w="100" w:type="dxa"/>
            </w:tcMar>
            <w:vAlign w:val="center"/>
            <w:shd w:fill="EAF4F7"/>
          </w:tcPr>
          <w:p>
            <w:pPr>
              <w:spacing w:after="20"/>
            </w:pPr>
            <w:r>
              <w:rPr>
                <w:sz w:val="16"/>
              </w:rPr>
              <w:t>Direct</w:t>
            </w:r>
          </w:p>
        </w:tc>
      </w:tr>
      <w:tr>
        <w:trPr>
          <w:trHeight w:hRule="atLeast"/>
        </w:trPr>
        <w:tc>
          <w:tcPr>
            <w:tcW w:w="3389" w:type="dxa"/>
            <w:tcMar>
              <w:top w:w="80" w:type="dxa"/>
              <w:start w:w="100" w:type="dxa"/>
              <w:bottom w:w="80" w:type="dxa"/>
              <w:end w:w="100" w:type="dxa"/>
            </w:tcMar>
            <w:vAlign w:val="center"/>
          </w:tcPr>
          <w:p>
            <w:pPr>
              <w:spacing w:after="20"/>
            </w:pPr>
            <w:r>
              <w:rPr>
                <w:sz w:val="16"/>
              </w:rPr>
              <w:t>Enterprise Event Enablement – Event Monitor</w:t>
            </w:r>
          </w:p>
        </w:tc>
        <w:tc>
          <w:tcPr>
            <w:tcW w:w="3389" w:type="dxa"/>
            <w:tcMar>
              <w:top w:w="80" w:type="dxa"/>
              <w:start w:w="100" w:type="dxa"/>
              <w:bottom w:w="80" w:type="dxa"/>
              <w:end w:w="100" w:type="dxa"/>
            </w:tcMar>
            <w:vAlign w:val="center"/>
          </w:tcPr>
          <w:p>
            <w:pPr>
              <w:spacing w:after="20"/>
            </w:pPr>
            <w:r>
              <w:rPr>
                <w:sz w:val="16"/>
              </w:rPr>
              <w:t>Event status, payload, timestamps, retry</w:t>
            </w:r>
          </w:p>
        </w:tc>
        <w:tc>
          <w:tcPr>
            <w:tcW w:w="3389" w:type="dxa"/>
            <w:tcMar>
              <w:top w:w="80" w:type="dxa"/>
              <w:start w:w="100" w:type="dxa"/>
              <w:bottom w:w="80" w:type="dxa"/>
              <w:end w:w="100" w:type="dxa"/>
            </w:tcMar>
            <w:vAlign w:val="center"/>
          </w:tcPr>
          <w:p>
            <w:pPr>
              <w:spacing w:after="20"/>
            </w:pPr>
            <w:r>
              <w:rPr>
                <w:sz w:val="16"/>
              </w:rPr>
              <w:t>Direct</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ADT Event Binding</w:t>
            </w:r>
          </w:p>
        </w:tc>
        <w:tc>
          <w:tcPr>
            <w:tcW w:w="3389" w:type="dxa"/>
            <w:tcMar>
              <w:top w:w="80" w:type="dxa"/>
              <w:start w:w="100" w:type="dxa"/>
              <w:bottom w:w="80" w:type="dxa"/>
              <w:end w:w="100" w:type="dxa"/>
            </w:tcMar>
            <w:vAlign w:val="center"/>
            <w:shd w:fill="EAF4F7"/>
          </w:tcPr>
          <w:p>
            <w:pPr>
              <w:spacing w:after="20"/>
            </w:pPr>
            <w:r>
              <w:rPr>
                <w:sz w:val="16"/>
              </w:rPr>
              <w:t>Expose RAP event remotely</w:t>
            </w:r>
          </w:p>
        </w:tc>
        <w:tc>
          <w:tcPr>
            <w:tcW w:w="3389" w:type="dxa"/>
            <w:tcMar>
              <w:top w:w="80" w:type="dxa"/>
              <w:start w:w="100" w:type="dxa"/>
              <w:bottom w:w="80" w:type="dxa"/>
              <w:end w:w="100" w:type="dxa"/>
            </w:tcMar>
            <w:vAlign w:val="center"/>
            <w:shd w:fill="EAF4F7"/>
          </w:tcPr>
          <w:p>
            <w:pPr>
              <w:spacing w:after="20"/>
            </w:pPr>
            <w:r>
              <w:rPr>
                <w:sz w:val="16"/>
              </w:rPr>
              <w:t>Direct</w:t>
            </w:r>
          </w:p>
        </w:tc>
      </w:tr>
      <w:tr>
        <w:trPr>
          <w:trHeight w:hRule="atLeast"/>
        </w:trPr>
        <w:tc>
          <w:tcPr>
            <w:tcW w:w="3389" w:type="dxa"/>
            <w:tcMar>
              <w:top w:w="80" w:type="dxa"/>
              <w:start w:w="100" w:type="dxa"/>
              <w:bottom w:w="80" w:type="dxa"/>
              <w:end w:w="100" w:type="dxa"/>
            </w:tcMar>
            <w:vAlign w:val="center"/>
          </w:tcPr>
          <w:p>
            <w:pPr>
              <w:spacing w:after="20"/>
            </w:pPr>
            <w:r>
              <w:rPr>
                <w:sz w:val="16"/>
              </w:rPr>
              <w:t>ADT Event Consumption Model</w:t>
            </w:r>
          </w:p>
        </w:tc>
        <w:tc>
          <w:tcPr>
            <w:tcW w:w="3389" w:type="dxa"/>
            <w:tcMar>
              <w:top w:w="80" w:type="dxa"/>
              <w:start w:w="100" w:type="dxa"/>
              <w:bottom w:w="80" w:type="dxa"/>
              <w:end w:w="100" w:type="dxa"/>
            </w:tcMar>
            <w:vAlign w:val="center"/>
          </w:tcPr>
          <w:p>
            <w:pPr>
              <w:spacing w:after="20"/>
            </w:pPr>
            <w:r>
              <w:rPr>
                <w:sz w:val="16"/>
              </w:rPr>
              <w:t>Generate remote consumer artifacts</w:t>
            </w:r>
          </w:p>
        </w:tc>
        <w:tc>
          <w:tcPr>
            <w:tcW w:w="3389" w:type="dxa"/>
            <w:tcMar>
              <w:top w:w="80" w:type="dxa"/>
              <w:start w:w="100" w:type="dxa"/>
              <w:bottom w:w="80" w:type="dxa"/>
              <w:end w:w="100" w:type="dxa"/>
            </w:tcMar>
            <w:vAlign w:val="center"/>
          </w:tcPr>
          <w:p>
            <w:pPr>
              <w:spacing w:after="20"/>
            </w:pPr>
            <w:r>
              <w:rPr>
                <w:sz w:val="16"/>
              </w:rPr>
              <w:t>Direct</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SPRO</w:t>
            </w:r>
          </w:p>
        </w:tc>
        <w:tc>
          <w:tcPr>
            <w:tcW w:w="3389" w:type="dxa"/>
            <w:tcMar>
              <w:top w:w="80" w:type="dxa"/>
              <w:start w:w="100" w:type="dxa"/>
              <w:bottom w:w="80" w:type="dxa"/>
              <w:end w:w="100" w:type="dxa"/>
            </w:tcMar>
            <w:vAlign w:val="center"/>
            <w:shd w:fill="EAF4F7"/>
          </w:tcPr>
          <w:p>
            <w:pPr>
              <w:spacing w:after="20"/>
            </w:pPr>
            <w:r>
              <w:rPr>
                <w:sz w:val="16"/>
              </w:rPr>
              <w:t>Enterprise Event Enablement configuration</w:t>
            </w:r>
          </w:p>
        </w:tc>
        <w:tc>
          <w:tcPr>
            <w:tcW w:w="3389" w:type="dxa"/>
            <w:tcMar>
              <w:top w:w="80" w:type="dxa"/>
              <w:start w:w="100" w:type="dxa"/>
              <w:bottom w:w="80" w:type="dxa"/>
              <w:end w:w="100" w:type="dxa"/>
            </w:tcMar>
            <w:vAlign w:val="center"/>
            <w:shd w:fill="EAF4F7"/>
          </w:tcPr>
          <w:p>
            <w:pPr>
              <w:spacing w:after="20"/>
            </w:pPr>
            <w:r>
              <w:rPr>
                <w:sz w:val="16"/>
              </w:rPr>
              <w:t>Direct on-prem/private</w:t>
            </w:r>
          </w:p>
        </w:tc>
      </w:tr>
      <w:tr>
        <w:trPr>
          <w:trHeight w:hRule="atLeast"/>
        </w:trPr>
        <w:tc>
          <w:tcPr>
            <w:tcW w:w="3389" w:type="dxa"/>
            <w:tcMar>
              <w:top w:w="80" w:type="dxa"/>
              <w:start w:w="100" w:type="dxa"/>
              <w:bottom w:w="80" w:type="dxa"/>
              <w:end w:w="100" w:type="dxa"/>
            </w:tcMar>
            <w:vAlign w:val="center"/>
          </w:tcPr>
          <w:p>
            <w:pPr>
              <w:spacing w:after="20"/>
            </w:pPr>
            <w:r>
              <w:rPr>
                <w:sz w:val="16"/>
              </w:rPr>
              <w:t>SM59</w:t>
            </w:r>
          </w:p>
        </w:tc>
        <w:tc>
          <w:tcPr>
            <w:tcW w:w="3389" w:type="dxa"/>
            <w:tcMar>
              <w:top w:w="80" w:type="dxa"/>
              <w:start w:w="100" w:type="dxa"/>
              <w:bottom w:w="80" w:type="dxa"/>
              <w:end w:w="100" w:type="dxa"/>
            </w:tcMar>
            <w:vAlign w:val="center"/>
          </w:tcPr>
          <w:p>
            <w:pPr>
              <w:spacing w:after="20"/>
            </w:pPr>
            <w:r>
              <w:rPr>
                <w:sz w:val="16"/>
              </w:rPr>
              <w:t>HTTP destination to Event Mesh</w:t>
            </w:r>
          </w:p>
        </w:tc>
        <w:tc>
          <w:tcPr>
            <w:tcW w:w="3389" w:type="dxa"/>
            <w:tcMar>
              <w:top w:w="80" w:type="dxa"/>
              <w:start w:w="100" w:type="dxa"/>
              <w:bottom w:w="80" w:type="dxa"/>
              <w:end w:w="100" w:type="dxa"/>
            </w:tcMar>
            <w:vAlign w:val="center"/>
          </w:tcPr>
          <w:p>
            <w:pPr>
              <w:spacing w:after="20"/>
            </w:pPr>
            <w:r>
              <w:rPr>
                <w:sz w:val="16"/>
              </w:rPr>
              <w:t>Direct on-prem/private</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STRUST</w:t>
            </w:r>
          </w:p>
        </w:tc>
        <w:tc>
          <w:tcPr>
            <w:tcW w:w="3389" w:type="dxa"/>
            <w:tcMar>
              <w:top w:w="80" w:type="dxa"/>
              <w:start w:w="100" w:type="dxa"/>
              <w:bottom w:w="80" w:type="dxa"/>
              <w:end w:w="100" w:type="dxa"/>
            </w:tcMar>
            <w:vAlign w:val="center"/>
            <w:shd w:fill="EAF4F7"/>
          </w:tcPr>
          <w:p>
            <w:pPr>
              <w:spacing w:after="20"/>
            </w:pPr>
            <w:r>
              <w:rPr>
                <w:sz w:val="16"/>
              </w:rPr>
              <w:t>TLS certificate trust</w:t>
            </w:r>
          </w:p>
        </w:tc>
        <w:tc>
          <w:tcPr>
            <w:tcW w:w="3389" w:type="dxa"/>
            <w:tcMar>
              <w:top w:w="80" w:type="dxa"/>
              <w:start w:w="100" w:type="dxa"/>
              <w:bottom w:w="80" w:type="dxa"/>
              <w:end w:w="100" w:type="dxa"/>
            </w:tcMar>
            <w:vAlign w:val="center"/>
            <w:shd w:fill="EAF4F7"/>
          </w:tcPr>
          <w:p>
            <w:pPr>
              <w:spacing w:after="20"/>
            </w:pPr>
            <w:r>
              <w:rPr>
                <w:sz w:val="16"/>
              </w:rPr>
              <w:t>Direct on-prem/private</w:t>
            </w:r>
          </w:p>
        </w:tc>
      </w:tr>
      <w:tr>
        <w:trPr>
          <w:trHeight w:hRule="atLeast"/>
        </w:trPr>
        <w:tc>
          <w:tcPr>
            <w:tcW w:w="3389" w:type="dxa"/>
            <w:tcMar>
              <w:top w:w="80" w:type="dxa"/>
              <w:start w:w="100" w:type="dxa"/>
              <w:bottom w:w="80" w:type="dxa"/>
              <w:end w:w="100" w:type="dxa"/>
            </w:tcMar>
            <w:vAlign w:val="center"/>
          </w:tcPr>
          <w:p>
            <w:pPr>
              <w:spacing w:after="20"/>
            </w:pPr>
            <w:r>
              <w:rPr>
                <w:sz w:val="16"/>
              </w:rPr>
              <w:t>SMICM</w:t>
            </w:r>
          </w:p>
        </w:tc>
        <w:tc>
          <w:tcPr>
            <w:tcW w:w="3389" w:type="dxa"/>
            <w:tcMar>
              <w:top w:w="80" w:type="dxa"/>
              <w:start w:w="100" w:type="dxa"/>
              <w:bottom w:w="80" w:type="dxa"/>
              <w:end w:w="100" w:type="dxa"/>
            </w:tcMar>
            <w:vAlign w:val="center"/>
          </w:tcPr>
          <w:p>
            <w:pPr>
              <w:spacing w:after="20"/>
            </w:pPr>
            <w:r>
              <w:rPr>
                <w:sz w:val="16"/>
              </w:rPr>
              <w:t>ICM/network trace and cache</w:t>
            </w:r>
          </w:p>
        </w:tc>
        <w:tc>
          <w:tcPr>
            <w:tcW w:w="3389" w:type="dxa"/>
            <w:tcMar>
              <w:top w:w="80" w:type="dxa"/>
              <w:start w:w="100" w:type="dxa"/>
              <w:bottom w:w="80" w:type="dxa"/>
              <w:end w:w="100" w:type="dxa"/>
            </w:tcMar>
            <w:vAlign w:val="center"/>
          </w:tcPr>
          <w:p>
            <w:pPr>
              <w:spacing w:after="20"/>
            </w:pPr>
            <w:r>
              <w:rPr>
                <w:sz w:val="16"/>
              </w:rPr>
              <w:t>Indirect</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SLG1</w:t>
            </w:r>
          </w:p>
        </w:tc>
        <w:tc>
          <w:tcPr>
            <w:tcW w:w="3389" w:type="dxa"/>
            <w:tcMar>
              <w:top w:w="80" w:type="dxa"/>
              <w:start w:w="100" w:type="dxa"/>
              <w:bottom w:w="80" w:type="dxa"/>
              <w:end w:w="100" w:type="dxa"/>
            </w:tcMar>
            <w:vAlign w:val="center"/>
            <w:shd w:fill="EAF4F7"/>
          </w:tcPr>
          <w:p>
            <w:pPr>
              <w:spacing w:after="20"/>
            </w:pPr>
            <w:r>
              <w:rPr>
                <w:sz w:val="16"/>
              </w:rPr>
              <w:t>Application logs where application/framework writes BAL logs</w:t>
            </w:r>
          </w:p>
        </w:tc>
        <w:tc>
          <w:tcPr>
            <w:tcW w:w="3389" w:type="dxa"/>
            <w:tcMar>
              <w:top w:w="80" w:type="dxa"/>
              <w:start w:w="100" w:type="dxa"/>
              <w:bottom w:w="80" w:type="dxa"/>
              <w:end w:w="100" w:type="dxa"/>
            </w:tcMar>
            <w:vAlign w:val="center"/>
            <w:shd w:fill="EAF4F7"/>
          </w:tcPr>
          <w:p>
            <w:pPr>
              <w:spacing w:after="20"/>
            </w:pPr>
            <w:r>
              <w:rPr>
                <w:sz w:val="16"/>
              </w:rPr>
              <w:t>Supporting</w:t>
            </w:r>
          </w:p>
        </w:tc>
      </w:tr>
      <w:tr>
        <w:trPr>
          <w:trHeight w:hRule="atLeast"/>
        </w:trPr>
        <w:tc>
          <w:tcPr>
            <w:tcW w:w="3389" w:type="dxa"/>
            <w:tcMar>
              <w:top w:w="80" w:type="dxa"/>
              <w:start w:w="100" w:type="dxa"/>
              <w:bottom w:w="80" w:type="dxa"/>
              <w:end w:w="100" w:type="dxa"/>
            </w:tcMar>
            <w:vAlign w:val="center"/>
          </w:tcPr>
          <w:p>
            <w:pPr>
              <w:spacing w:after="20"/>
            </w:pPr>
            <w:r>
              <w:rPr>
                <w:sz w:val="16"/>
              </w:rPr>
              <w:t>ST22</w:t>
            </w:r>
          </w:p>
        </w:tc>
        <w:tc>
          <w:tcPr>
            <w:tcW w:w="3389" w:type="dxa"/>
            <w:tcMar>
              <w:top w:w="80" w:type="dxa"/>
              <w:start w:w="100" w:type="dxa"/>
              <w:bottom w:w="80" w:type="dxa"/>
              <w:end w:w="100" w:type="dxa"/>
            </w:tcMar>
            <w:vAlign w:val="center"/>
          </w:tcPr>
          <w:p>
            <w:pPr>
              <w:spacing w:after="20"/>
            </w:pPr>
            <w:r>
              <w:rPr>
                <w:sz w:val="16"/>
              </w:rPr>
              <w:t>ABAP dumps</w:t>
            </w:r>
          </w:p>
        </w:tc>
        <w:tc>
          <w:tcPr>
            <w:tcW w:w="3389" w:type="dxa"/>
            <w:tcMar>
              <w:top w:w="80" w:type="dxa"/>
              <w:start w:w="100" w:type="dxa"/>
              <w:bottom w:w="80" w:type="dxa"/>
              <w:end w:w="100" w:type="dxa"/>
            </w:tcMar>
            <w:vAlign w:val="center"/>
          </w:tcPr>
          <w:p>
            <w:pPr>
              <w:spacing w:after="20"/>
            </w:pPr>
            <w:r>
              <w:rPr>
                <w:sz w:val="16"/>
              </w:rPr>
              <w:t>Supporting</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SM21</w:t>
            </w:r>
          </w:p>
        </w:tc>
        <w:tc>
          <w:tcPr>
            <w:tcW w:w="3389" w:type="dxa"/>
            <w:tcMar>
              <w:top w:w="80" w:type="dxa"/>
              <w:start w:w="100" w:type="dxa"/>
              <w:bottom w:w="80" w:type="dxa"/>
              <w:end w:w="100" w:type="dxa"/>
            </w:tcMar>
            <w:vAlign w:val="center"/>
            <w:shd w:fill="EAF4F7"/>
          </w:tcPr>
          <w:p>
            <w:pPr>
              <w:spacing w:after="20"/>
            </w:pPr>
            <w:r>
              <w:rPr>
                <w:sz w:val="16"/>
              </w:rPr>
              <w:t>System log</w:t>
            </w:r>
          </w:p>
        </w:tc>
        <w:tc>
          <w:tcPr>
            <w:tcW w:w="3389" w:type="dxa"/>
            <w:tcMar>
              <w:top w:w="80" w:type="dxa"/>
              <w:start w:w="100" w:type="dxa"/>
              <w:bottom w:w="80" w:type="dxa"/>
              <w:end w:w="100" w:type="dxa"/>
            </w:tcMar>
            <w:vAlign w:val="center"/>
            <w:shd w:fill="EAF4F7"/>
          </w:tcPr>
          <w:p>
            <w:pPr>
              <w:spacing w:after="20"/>
            </w:pPr>
            <w:r>
              <w:rPr>
                <w:sz w:val="16"/>
              </w:rPr>
              <w:t>Supporting</w:t>
            </w:r>
          </w:p>
        </w:tc>
      </w:tr>
      <w:tr>
        <w:trPr>
          <w:trHeight w:hRule="atLeast"/>
        </w:trPr>
        <w:tc>
          <w:tcPr>
            <w:tcW w:w="3389" w:type="dxa"/>
            <w:tcMar>
              <w:top w:w="80" w:type="dxa"/>
              <w:start w:w="100" w:type="dxa"/>
              <w:bottom w:w="80" w:type="dxa"/>
              <w:end w:w="100" w:type="dxa"/>
            </w:tcMar>
            <w:vAlign w:val="center"/>
          </w:tcPr>
          <w:p>
            <w:pPr>
              <w:spacing w:after="20"/>
            </w:pPr>
            <w:r>
              <w:rPr>
                <w:sz w:val="16"/>
              </w:rPr>
              <w:t>SE24</w:t>
            </w:r>
          </w:p>
        </w:tc>
        <w:tc>
          <w:tcPr>
            <w:tcW w:w="3389" w:type="dxa"/>
            <w:tcMar>
              <w:top w:w="80" w:type="dxa"/>
              <w:start w:w="100" w:type="dxa"/>
              <w:bottom w:w="80" w:type="dxa"/>
              <w:end w:w="100" w:type="dxa"/>
            </w:tcMar>
            <w:vAlign w:val="center"/>
          </w:tcPr>
          <w:p>
            <w:pPr>
              <w:spacing w:after="20"/>
            </w:pPr>
            <w:r>
              <w:rPr>
                <w:sz w:val="16"/>
              </w:rPr>
              <w:t>Inspect classic classes</w:t>
            </w:r>
          </w:p>
        </w:tc>
        <w:tc>
          <w:tcPr>
            <w:tcW w:w="3389" w:type="dxa"/>
            <w:tcMar>
              <w:top w:w="80" w:type="dxa"/>
              <w:start w:w="100" w:type="dxa"/>
              <w:bottom w:w="80" w:type="dxa"/>
              <w:end w:w="100" w:type="dxa"/>
            </w:tcMar>
            <w:vAlign w:val="center"/>
          </w:tcPr>
          <w:p>
            <w:pPr>
              <w:spacing w:after="20"/>
            </w:pPr>
            <w:r>
              <w:rPr>
                <w:sz w:val="16"/>
              </w:rPr>
              <w:t>Development support</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SE80/SE38/SE11</w:t>
            </w:r>
          </w:p>
        </w:tc>
        <w:tc>
          <w:tcPr>
            <w:tcW w:w="3389" w:type="dxa"/>
            <w:tcMar>
              <w:top w:w="80" w:type="dxa"/>
              <w:start w:w="100" w:type="dxa"/>
              <w:bottom w:w="80" w:type="dxa"/>
              <w:end w:w="100" w:type="dxa"/>
            </w:tcMar>
            <w:vAlign w:val="center"/>
            <w:shd w:fill="EAF4F7"/>
          </w:tcPr>
          <w:p>
            <w:pPr>
              <w:spacing w:after="20"/>
            </w:pPr>
            <w:r>
              <w:rPr>
                <w:sz w:val="16"/>
              </w:rPr>
              <w:t>Classic development objects</w:t>
            </w:r>
          </w:p>
        </w:tc>
        <w:tc>
          <w:tcPr>
            <w:tcW w:w="3389" w:type="dxa"/>
            <w:tcMar>
              <w:top w:w="80" w:type="dxa"/>
              <w:start w:w="100" w:type="dxa"/>
              <w:bottom w:w="80" w:type="dxa"/>
              <w:end w:w="100" w:type="dxa"/>
            </w:tcMar>
            <w:vAlign w:val="center"/>
            <w:shd w:fill="EAF4F7"/>
          </w:tcPr>
          <w:p>
            <w:pPr>
              <w:spacing w:after="20"/>
            </w:pPr>
            <w:r>
              <w:rPr>
                <w:sz w:val="16"/>
              </w:rPr>
              <w:t>General support</w:t>
            </w:r>
          </w:p>
        </w:tc>
      </w:tr>
      <w:tr>
        <w:trPr>
          <w:trHeight w:hRule="atLeast"/>
        </w:trPr>
        <w:tc>
          <w:tcPr>
            <w:tcW w:w="3389" w:type="dxa"/>
            <w:tcMar>
              <w:top w:w="80" w:type="dxa"/>
              <w:start w:w="100" w:type="dxa"/>
              <w:bottom w:w="80" w:type="dxa"/>
              <w:end w:w="100" w:type="dxa"/>
            </w:tcMar>
            <w:vAlign w:val="center"/>
          </w:tcPr>
          <w:p>
            <w:pPr>
              <w:spacing w:after="20"/>
            </w:pPr>
            <w:r>
              <w:rPr>
                <w:sz w:val="16"/>
              </w:rPr>
              <w:t>SICF</w:t>
            </w:r>
          </w:p>
        </w:tc>
        <w:tc>
          <w:tcPr>
            <w:tcW w:w="3389" w:type="dxa"/>
            <w:tcMar>
              <w:top w:w="80" w:type="dxa"/>
              <w:start w:w="100" w:type="dxa"/>
              <w:bottom w:w="80" w:type="dxa"/>
              <w:end w:w="100" w:type="dxa"/>
            </w:tcMar>
            <w:vAlign w:val="center"/>
          </w:tcPr>
          <w:p>
            <w:pPr>
              <w:spacing w:after="20"/>
            </w:pPr>
            <w:r>
              <w:rPr>
                <w:sz w:val="16"/>
              </w:rPr>
              <w:t>HTTP service activation</w:t>
            </w:r>
          </w:p>
        </w:tc>
        <w:tc>
          <w:tcPr>
            <w:tcW w:w="3389" w:type="dxa"/>
            <w:tcMar>
              <w:top w:w="80" w:type="dxa"/>
              <w:start w:w="100" w:type="dxa"/>
              <w:bottom w:w="80" w:type="dxa"/>
              <w:end w:w="100" w:type="dxa"/>
            </w:tcMar>
            <w:vAlign w:val="center"/>
          </w:tcPr>
          <w:p>
            <w:pPr>
              <w:spacing w:after="20"/>
            </w:pPr>
            <w:r>
              <w:rPr>
                <w:sz w:val="16"/>
              </w:rPr>
              <w:t>Only if the relevant solution uses an ICF service</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SRT_MONI/SRT_UTIL</w:t>
            </w:r>
          </w:p>
        </w:tc>
        <w:tc>
          <w:tcPr>
            <w:tcW w:w="3389" w:type="dxa"/>
            <w:tcMar>
              <w:top w:w="80" w:type="dxa"/>
              <w:start w:w="100" w:type="dxa"/>
              <w:bottom w:w="80" w:type="dxa"/>
              <w:end w:w="100" w:type="dxa"/>
            </w:tcMar>
            <w:vAlign w:val="center"/>
            <w:shd w:fill="EAF4F7"/>
          </w:tcPr>
          <w:p>
            <w:pPr>
              <w:spacing w:after="20"/>
            </w:pPr>
            <w:r>
              <w:rPr>
                <w:sz w:val="16"/>
              </w:rPr>
              <w:t>SOAP runtime</w:t>
            </w:r>
          </w:p>
        </w:tc>
        <w:tc>
          <w:tcPr>
            <w:tcW w:w="3389" w:type="dxa"/>
            <w:tcMar>
              <w:top w:w="80" w:type="dxa"/>
              <w:start w:w="100" w:type="dxa"/>
              <w:bottom w:w="80" w:type="dxa"/>
              <w:end w:w="100" w:type="dxa"/>
            </w:tcMar>
            <w:vAlign w:val="center"/>
            <w:shd w:fill="EAF4F7"/>
          </w:tcPr>
          <w:p>
            <w:pPr>
              <w:spacing w:after="20"/>
            </w:pPr>
            <w:r>
              <w:rPr>
                <w:sz w:val="16"/>
              </w:rPr>
              <w:t>Not Event Mesh itself; use only when SOAP is also involved</w:t>
            </w:r>
          </w:p>
        </w:tc>
      </w:tr>
      <w:tr>
        <w:trPr>
          <w:trHeight w:hRule="atLeast"/>
        </w:trPr>
        <w:tc>
          <w:tcPr>
            <w:tcW w:w="3389" w:type="dxa"/>
            <w:tcMar>
              <w:top w:w="80" w:type="dxa"/>
              <w:start w:w="100" w:type="dxa"/>
              <w:bottom w:w="80" w:type="dxa"/>
              <w:end w:w="100" w:type="dxa"/>
            </w:tcMar>
            <w:vAlign w:val="center"/>
          </w:tcPr>
          <w:p>
            <w:pPr>
              <w:spacing w:after="20"/>
            </w:pPr>
            <w:r>
              <w:rPr>
                <w:sz w:val="16"/>
              </w:rPr>
              <w:t>SWETYPV/SWE2/SWELS/SWI1/SWU3</w:t>
            </w:r>
          </w:p>
        </w:tc>
        <w:tc>
          <w:tcPr>
            <w:tcW w:w="3389" w:type="dxa"/>
            <w:tcMar>
              <w:top w:w="80" w:type="dxa"/>
              <w:start w:w="100" w:type="dxa"/>
              <w:bottom w:w="80" w:type="dxa"/>
              <w:end w:w="100" w:type="dxa"/>
            </w:tcMar>
            <w:vAlign w:val="center"/>
          </w:tcPr>
          <w:p>
            <w:pPr>
              <w:spacing w:after="20"/>
            </w:pPr>
            <w:r>
              <w:rPr>
                <w:sz w:val="16"/>
              </w:rPr>
              <w:t>Classic SAP Workflow event linkage/tracing</w:t>
            </w:r>
          </w:p>
        </w:tc>
        <w:tc>
          <w:tcPr>
            <w:tcW w:w="3389" w:type="dxa"/>
            <w:tcMar>
              <w:top w:w="80" w:type="dxa"/>
              <w:start w:w="100" w:type="dxa"/>
              <w:bottom w:w="80" w:type="dxa"/>
              <w:end w:w="100" w:type="dxa"/>
            </w:tcMar>
            <w:vAlign w:val="center"/>
          </w:tcPr>
          <w:p>
            <w:pPr>
              <w:spacing w:after="20"/>
            </w:pPr>
            <w:r>
              <w:rPr>
                <w:sz w:val="16"/>
              </w:rPr>
              <w:t>Legacy/workflow-specific, not RAP/Event Mesh monitoring</w:t>
            </w:r>
          </w:p>
        </w:tc>
      </w:tr>
    </w:tbl>
    <w:p>
      <w:pPr>
        <w:spacing w:after="20"/>
      </w:pPr>
    </w:p>
    <w:p>
      <w:pPr>
        <w:pStyle w:val="Heading1"/>
      </w:pPr>
      <w:r>
        <w:t>7. Exact Troubleshooting: “Sales Order Created but Event Mesh Received Nothing”</w:t>
      </w:r>
    </w:p>
    <w:tbl>
      <w:tblPr>
        <w:tblStyle w:val="TableGrid"/>
        <w:tblW w:w="0" w:type="auto"/>
        <w:jc w:val="center"/>
        <w:tblLook w:val="04A0" w:firstRow="1" w:lastRow="0" w:firstColumn="1" w:lastColumn="0" w:noHBand="0" w:noVBand="1"/>
      </w:tblPr>
      <w:tblGrid>
        <w:gridCol w:w="2541"/>
        <w:gridCol w:w="2541"/>
        <w:gridCol w:w="2541"/>
        <w:gridCol w:w="2541"/>
      </w:tblGrid>
      <w:tr>
        <w:trPr>
          <w:trHeight w:hRule="atLeast"/>
          <w:tblHeader w:val="true"/>
        </w:trPr>
        <w:tc>
          <w:tcPr>
            <w:tcW w:w="2541" w:type="dxa"/>
            <w:shd w:fill="0B3768"/>
            <w:tcMar>
              <w:top w:w="80" w:type="dxa"/>
              <w:start w:w="100" w:type="dxa"/>
              <w:bottom w:w="80" w:type="dxa"/>
              <w:end w:w="100" w:type="dxa"/>
            </w:tcMar>
            <w:vAlign w:val="center"/>
          </w:tcPr>
          <w:p>
            <w:r>
              <w:rPr>
                <w:b/>
                <w:color w:val="FFFFFF"/>
                <w:sz w:val="17"/>
              </w:rPr>
              <w:t>Step</w:t>
            </w:r>
          </w:p>
        </w:tc>
        <w:tc>
          <w:tcPr>
            <w:tcW w:w="2541" w:type="dxa"/>
            <w:shd w:fill="0B3768"/>
            <w:tcMar>
              <w:top w:w="80" w:type="dxa"/>
              <w:start w:w="100" w:type="dxa"/>
              <w:bottom w:w="80" w:type="dxa"/>
              <w:end w:w="100" w:type="dxa"/>
            </w:tcMar>
            <w:vAlign w:val="center"/>
          </w:tcPr>
          <w:p>
            <w:r>
              <w:rPr>
                <w:b/>
                <w:color w:val="FFFFFF"/>
                <w:sz w:val="17"/>
              </w:rPr>
              <w:t>Check</w:t>
            </w:r>
          </w:p>
        </w:tc>
        <w:tc>
          <w:tcPr>
            <w:tcW w:w="2541" w:type="dxa"/>
            <w:shd w:fill="0B3768"/>
            <w:tcMar>
              <w:top w:w="80" w:type="dxa"/>
              <w:start w:w="100" w:type="dxa"/>
              <w:bottom w:w="80" w:type="dxa"/>
              <w:end w:w="100" w:type="dxa"/>
            </w:tcMar>
            <w:vAlign w:val="center"/>
          </w:tcPr>
          <w:p>
            <w:r>
              <w:rPr>
                <w:b/>
                <w:color w:val="FFFFFF"/>
                <w:sz w:val="17"/>
              </w:rPr>
              <w:t>Expected</w:t>
            </w:r>
          </w:p>
        </w:tc>
        <w:tc>
          <w:tcPr>
            <w:tcW w:w="2541" w:type="dxa"/>
            <w:shd w:fill="0B3768"/>
            <w:tcMar>
              <w:top w:w="80" w:type="dxa"/>
              <w:start w:w="100" w:type="dxa"/>
              <w:bottom w:w="80" w:type="dxa"/>
              <w:end w:w="100" w:type="dxa"/>
            </w:tcMar>
            <w:vAlign w:val="center"/>
          </w:tcPr>
          <w:p>
            <w:r>
              <w:rPr>
                <w:b/>
                <w:color w:val="FFFFFF"/>
                <w:sz w:val="17"/>
              </w:rPr>
              <w:t>Owner</w:t>
            </w:r>
          </w:p>
        </w:tc>
      </w:tr>
      <w:tr>
        <w:trPr>
          <w:trHeight w:hRule="atLeast"/>
        </w:trPr>
        <w:tc>
          <w:tcPr>
            <w:tcW w:w="2541" w:type="dxa"/>
            <w:tcMar>
              <w:top w:w="80" w:type="dxa"/>
              <w:start w:w="100" w:type="dxa"/>
              <w:bottom w:w="80" w:type="dxa"/>
              <w:end w:w="100" w:type="dxa"/>
            </w:tcMar>
            <w:vAlign w:val="center"/>
          </w:tcPr>
          <w:p>
            <w:pPr>
              <w:spacing w:after="20"/>
            </w:pPr>
            <w:r>
              <w:rPr>
                <w:sz w:val="16"/>
              </w:rPr>
              <w:t>1</w:t>
            </w:r>
          </w:p>
        </w:tc>
        <w:tc>
          <w:tcPr>
            <w:tcW w:w="2541" w:type="dxa"/>
            <w:tcMar>
              <w:top w:w="80" w:type="dxa"/>
              <w:start w:w="100" w:type="dxa"/>
              <w:bottom w:w="80" w:type="dxa"/>
              <w:end w:w="100" w:type="dxa"/>
            </w:tcMar>
            <w:vAlign w:val="center"/>
          </w:tcPr>
          <w:p>
            <w:pPr>
              <w:spacing w:after="20"/>
            </w:pPr>
            <w:r>
              <w:rPr>
                <w:sz w:val="16"/>
              </w:rPr>
              <w:t>VA03/Fiori order display and commit</w:t>
            </w:r>
          </w:p>
        </w:tc>
        <w:tc>
          <w:tcPr>
            <w:tcW w:w="2541" w:type="dxa"/>
            <w:tcMar>
              <w:top w:w="80" w:type="dxa"/>
              <w:start w:w="100" w:type="dxa"/>
              <w:bottom w:w="80" w:type="dxa"/>
              <w:end w:w="100" w:type="dxa"/>
            </w:tcMar>
            <w:vAlign w:val="center"/>
          </w:tcPr>
          <w:p>
            <w:pPr>
              <w:spacing w:after="20"/>
            </w:pPr>
            <w:r>
              <w:rPr>
                <w:sz w:val="16"/>
              </w:rPr>
              <w:t>Order exists successfully</w:t>
            </w:r>
          </w:p>
        </w:tc>
        <w:tc>
          <w:tcPr>
            <w:tcW w:w="2541" w:type="dxa"/>
            <w:tcMar>
              <w:top w:w="80" w:type="dxa"/>
              <w:start w:w="100" w:type="dxa"/>
              <w:bottom w:w="80" w:type="dxa"/>
              <w:end w:w="100" w:type="dxa"/>
            </w:tcMar>
            <w:vAlign w:val="center"/>
          </w:tcPr>
          <w:p>
            <w:pPr>
              <w:spacing w:after="20"/>
            </w:pPr>
            <w:r>
              <w:rPr>
                <w:sz w:val="16"/>
              </w:rPr>
              <w:t>Functional/ABAP</w:t>
            </w:r>
          </w:p>
        </w:tc>
      </w:tr>
      <w:tr>
        <w:trPr>
          <w:trHeight w:hRule="atLeast"/>
        </w:trPr>
        <w:tc>
          <w:tcPr>
            <w:tcW w:w="2541" w:type="dxa"/>
            <w:tcMar>
              <w:top w:w="80" w:type="dxa"/>
              <w:start w:w="100" w:type="dxa"/>
              <w:bottom w:w="80" w:type="dxa"/>
              <w:end w:w="100" w:type="dxa"/>
            </w:tcMar>
            <w:vAlign w:val="center"/>
            <w:shd w:fill="EAF4F7"/>
          </w:tcPr>
          <w:p>
            <w:pPr>
              <w:spacing w:after="20"/>
            </w:pPr>
            <w:r>
              <w:rPr>
                <w:sz w:val="16"/>
              </w:rPr>
              <w:t>2</w:t>
            </w:r>
          </w:p>
        </w:tc>
        <w:tc>
          <w:tcPr>
            <w:tcW w:w="2541" w:type="dxa"/>
            <w:tcMar>
              <w:top w:w="80" w:type="dxa"/>
              <w:start w:w="100" w:type="dxa"/>
              <w:bottom w:w="80" w:type="dxa"/>
              <w:end w:w="100" w:type="dxa"/>
            </w:tcMar>
            <w:vAlign w:val="center"/>
            <w:shd w:fill="EAF4F7"/>
          </w:tcPr>
          <w:p>
            <w:pPr>
              <w:spacing w:after="20"/>
            </w:pPr>
            <w:r>
              <w:rPr>
                <w:sz w:val="16"/>
              </w:rPr>
              <w:t>Confirm standard event availability for release</w:t>
            </w:r>
          </w:p>
        </w:tc>
        <w:tc>
          <w:tcPr>
            <w:tcW w:w="2541" w:type="dxa"/>
            <w:tcMar>
              <w:top w:w="80" w:type="dxa"/>
              <w:start w:w="100" w:type="dxa"/>
              <w:bottom w:w="80" w:type="dxa"/>
              <w:end w:w="100" w:type="dxa"/>
            </w:tcMar>
            <w:vAlign w:val="center"/>
            <w:shd w:fill="EAF4F7"/>
          </w:tcPr>
          <w:p>
            <w:pPr>
              <w:spacing w:after="20"/>
            </w:pPr>
            <w:r>
              <w:rPr>
                <w:sz w:val="16"/>
              </w:rPr>
              <w:t>Sales Order Created exists</w:t>
            </w:r>
          </w:p>
        </w:tc>
        <w:tc>
          <w:tcPr>
            <w:tcW w:w="2541" w:type="dxa"/>
            <w:tcMar>
              <w:top w:w="80" w:type="dxa"/>
              <w:start w:w="100" w:type="dxa"/>
              <w:bottom w:w="80" w:type="dxa"/>
              <w:end w:w="100" w:type="dxa"/>
            </w:tcMar>
            <w:vAlign w:val="center"/>
            <w:shd w:fill="EAF4F7"/>
          </w:tcPr>
          <w:p>
            <w:pPr>
              <w:spacing w:after="20"/>
            </w:pPr>
            <w:r>
              <w:rPr>
                <w:sz w:val="16"/>
              </w:rPr>
              <w:t>ABAP</w:t>
            </w:r>
          </w:p>
        </w:tc>
      </w:tr>
      <w:tr>
        <w:trPr>
          <w:trHeight w:hRule="atLeast"/>
        </w:trPr>
        <w:tc>
          <w:tcPr>
            <w:tcW w:w="2541" w:type="dxa"/>
            <w:tcMar>
              <w:top w:w="80" w:type="dxa"/>
              <w:start w:w="100" w:type="dxa"/>
              <w:bottom w:w="80" w:type="dxa"/>
              <w:end w:w="100" w:type="dxa"/>
            </w:tcMar>
            <w:vAlign w:val="center"/>
          </w:tcPr>
          <w:p>
            <w:pPr>
              <w:spacing w:after="20"/>
            </w:pPr>
            <w:r>
              <w:rPr>
                <w:sz w:val="16"/>
              </w:rPr>
              <w:t>3</w:t>
            </w:r>
          </w:p>
        </w:tc>
        <w:tc>
          <w:tcPr>
            <w:tcW w:w="2541" w:type="dxa"/>
            <w:tcMar>
              <w:top w:w="80" w:type="dxa"/>
              <w:start w:w="100" w:type="dxa"/>
              <w:bottom w:w="80" w:type="dxa"/>
              <w:end w:w="100" w:type="dxa"/>
            </w:tcMar>
            <w:vAlign w:val="center"/>
          </w:tcPr>
          <w:p>
            <w:pPr>
              <w:spacing w:after="20"/>
            </w:pPr>
            <w:r>
              <w:rPr>
                <w:sz w:val="16"/>
              </w:rPr>
              <w:t>Event Monitor outbound topic/status</w:t>
            </w:r>
          </w:p>
        </w:tc>
        <w:tc>
          <w:tcPr>
            <w:tcW w:w="2541" w:type="dxa"/>
            <w:tcMar>
              <w:top w:w="80" w:type="dxa"/>
              <w:start w:w="100" w:type="dxa"/>
              <w:bottom w:w="80" w:type="dxa"/>
              <w:end w:w="100" w:type="dxa"/>
            </w:tcMar>
            <w:vAlign w:val="center"/>
          </w:tcPr>
          <w:p>
            <w:pPr>
              <w:spacing w:after="20"/>
            </w:pPr>
            <w:r>
              <w:rPr>
                <w:sz w:val="16"/>
              </w:rPr>
              <w:t>Event visible</w:t>
            </w:r>
          </w:p>
        </w:tc>
        <w:tc>
          <w:tcPr>
            <w:tcW w:w="2541" w:type="dxa"/>
            <w:tcMar>
              <w:top w:w="80" w:type="dxa"/>
              <w:start w:w="100" w:type="dxa"/>
              <w:bottom w:w="80" w:type="dxa"/>
              <w:end w:w="100" w:type="dxa"/>
            </w:tcMar>
            <w:vAlign w:val="center"/>
          </w:tcPr>
          <w:p>
            <w:pPr>
              <w:spacing w:after="20"/>
            </w:pPr>
            <w:r>
              <w:rPr>
                <w:sz w:val="16"/>
              </w:rPr>
              <w:t>ABAP/Basis</w:t>
            </w:r>
          </w:p>
        </w:tc>
      </w:tr>
      <w:tr>
        <w:trPr>
          <w:trHeight w:hRule="atLeast"/>
        </w:trPr>
        <w:tc>
          <w:tcPr>
            <w:tcW w:w="2541" w:type="dxa"/>
            <w:tcMar>
              <w:top w:w="80" w:type="dxa"/>
              <w:start w:w="100" w:type="dxa"/>
              <w:bottom w:w="80" w:type="dxa"/>
              <w:end w:w="100" w:type="dxa"/>
            </w:tcMar>
            <w:vAlign w:val="center"/>
            <w:shd w:fill="EAF4F7"/>
          </w:tcPr>
          <w:p>
            <w:pPr>
              <w:spacing w:after="20"/>
            </w:pPr>
            <w:r>
              <w:rPr>
                <w:sz w:val="16"/>
              </w:rPr>
              <w:t>4</w:t>
            </w:r>
          </w:p>
        </w:tc>
        <w:tc>
          <w:tcPr>
            <w:tcW w:w="2541" w:type="dxa"/>
            <w:tcMar>
              <w:top w:w="80" w:type="dxa"/>
              <w:start w:w="100" w:type="dxa"/>
              <w:bottom w:w="80" w:type="dxa"/>
              <w:end w:w="100" w:type="dxa"/>
            </w:tcMar>
            <w:vAlign w:val="center"/>
            <w:shd w:fill="EAF4F7"/>
          </w:tcPr>
          <w:p>
            <w:pPr>
              <w:spacing w:after="20"/>
            </w:pPr>
            <w:r>
              <w:rPr>
                <w:sz w:val="16"/>
              </w:rPr>
              <w:t>/IWXBE/CONFIG or communication arrangement</w:t>
            </w:r>
          </w:p>
        </w:tc>
        <w:tc>
          <w:tcPr>
            <w:tcW w:w="2541" w:type="dxa"/>
            <w:tcMar>
              <w:top w:w="80" w:type="dxa"/>
              <w:start w:w="100" w:type="dxa"/>
              <w:bottom w:w="80" w:type="dxa"/>
              <w:end w:w="100" w:type="dxa"/>
            </w:tcMar>
            <w:vAlign w:val="center"/>
            <w:shd w:fill="EAF4F7"/>
          </w:tcPr>
          <w:p>
            <w:pPr>
              <w:spacing w:after="20"/>
            </w:pPr>
            <w:r>
              <w:rPr>
                <w:sz w:val="16"/>
              </w:rPr>
              <w:t>Active channel</w:t>
            </w:r>
          </w:p>
        </w:tc>
        <w:tc>
          <w:tcPr>
            <w:tcW w:w="2541" w:type="dxa"/>
            <w:tcMar>
              <w:top w:w="80" w:type="dxa"/>
              <w:start w:w="100" w:type="dxa"/>
              <w:bottom w:w="80" w:type="dxa"/>
              <w:end w:w="100" w:type="dxa"/>
            </w:tcMar>
            <w:vAlign w:val="center"/>
            <w:shd w:fill="EAF4F7"/>
          </w:tcPr>
          <w:p>
            <w:pPr>
              <w:spacing w:after="20"/>
            </w:pPr>
            <w:r>
              <w:rPr>
                <w:sz w:val="16"/>
              </w:rPr>
              <w:t>Basis/BTP admin</w:t>
            </w:r>
          </w:p>
        </w:tc>
      </w:tr>
      <w:tr>
        <w:trPr>
          <w:trHeight w:hRule="atLeast"/>
        </w:trPr>
        <w:tc>
          <w:tcPr>
            <w:tcW w:w="2541" w:type="dxa"/>
            <w:tcMar>
              <w:top w:w="80" w:type="dxa"/>
              <w:start w:w="100" w:type="dxa"/>
              <w:bottom w:w="80" w:type="dxa"/>
              <w:end w:w="100" w:type="dxa"/>
            </w:tcMar>
            <w:vAlign w:val="center"/>
          </w:tcPr>
          <w:p>
            <w:pPr>
              <w:spacing w:after="20"/>
            </w:pPr>
            <w:r>
              <w:rPr>
                <w:sz w:val="16"/>
              </w:rPr>
              <w:t>5</w:t>
            </w:r>
          </w:p>
        </w:tc>
        <w:tc>
          <w:tcPr>
            <w:tcW w:w="2541" w:type="dxa"/>
            <w:tcMar>
              <w:top w:w="80" w:type="dxa"/>
              <w:start w:w="100" w:type="dxa"/>
              <w:bottom w:w="80" w:type="dxa"/>
              <w:end w:w="100" w:type="dxa"/>
            </w:tcMar>
            <w:vAlign w:val="center"/>
          </w:tcPr>
          <w:p>
            <w:pPr>
              <w:spacing w:after="20"/>
            </w:pPr>
            <w:r>
              <w:rPr>
                <w:sz w:val="16"/>
              </w:rPr>
              <w:t>/IWXBE/OUTBOUND_CFG</w:t>
            </w:r>
          </w:p>
        </w:tc>
        <w:tc>
          <w:tcPr>
            <w:tcW w:w="2541" w:type="dxa"/>
            <w:tcMar>
              <w:top w:w="80" w:type="dxa"/>
              <w:start w:w="100" w:type="dxa"/>
              <w:bottom w:w="80" w:type="dxa"/>
              <w:end w:w="100" w:type="dxa"/>
            </w:tcMar>
            <w:vAlign w:val="center"/>
          </w:tcPr>
          <w:p>
            <w:pPr>
              <w:spacing w:after="20"/>
            </w:pPr>
            <w:r>
              <w:rPr>
                <w:sz w:val="16"/>
              </w:rPr>
              <w:t>Correct topic bound</w:t>
            </w:r>
          </w:p>
        </w:tc>
        <w:tc>
          <w:tcPr>
            <w:tcW w:w="2541" w:type="dxa"/>
            <w:tcMar>
              <w:top w:w="80" w:type="dxa"/>
              <w:start w:w="100" w:type="dxa"/>
              <w:bottom w:w="80" w:type="dxa"/>
              <w:end w:w="100" w:type="dxa"/>
            </w:tcMar>
            <w:vAlign w:val="center"/>
          </w:tcPr>
          <w:p>
            <w:pPr>
              <w:spacing w:after="20"/>
            </w:pPr>
            <w:r>
              <w:rPr>
                <w:sz w:val="16"/>
              </w:rPr>
              <w:t>ABAP/Basis</w:t>
            </w:r>
          </w:p>
        </w:tc>
      </w:tr>
      <w:tr>
        <w:trPr>
          <w:trHeight w:hRule="atLeast"/>
        </w:trPr>
        <w:tc>
          <w:tcPr>
            <w:tcW w:w="2541" w:type="dxa"/>
            <w:tcMar>
              <w:top w:w="80" w:type="dxa"/>
              <w:start w:w="100" w:type="dxa"/>
              <w:bottom w:w="80" w:type="dxa"/>
              <w:end w:w="100" w:type="dxa"/>
            </w:tcMar>
            <w:vAlign w:val="center"/>
            <w:shd w:fill="EAF4F7"/>
          </w:tcPr>
          <w:p>
            <w:pPr>
              <w:spacing w:after="20"/>
            </w:pPr>
            <w:r>
              <w:rPr>
                <w:sz w:val="16"/>
              </w:rPr>
              <w:t>6</w:t>
            </w:r>
          </w:p>
        </w:tc>
        <w:tc>
          <w:tcPr>
            <w:tcW w:w="2541" w:type="dxa"/>
            <w:tcMar>
              <w:top w:w="80" w:type="dxa"/>
              <w:start w:w="100" w:type="dxa"/>
              <w:bottom w:w="80" w:type="dxa"/>
              <w:end w:w="100" w:type="dxa"/>
            </w:tcMar>
            <w:vAlign w:val="center"/>
            <w:shd w:fill="EAF4F7"/>
          </w:tcPr>
          <w:p>
            <w:pPr>
              <w:spacing w:after="20"/>
            </w:pPr>
            <w:r>
              <w:rPr>
                <w:sz w:val="16"/>
              </w:rPr>
              <w:t>SM59 connection test, OAuth and STRUST</w:t>
            </w:r>
          </w:p>
        </w:tc>
        <w:tc>
          <w:tcPr>
            <w:tcW w:w="2541" w:type="dxa"/>
            <w:tcMar>
              <w:top w:w="80" w:type="dxa"/>
              <w:start w:w="100" w:type="dxa"/>
              <w:bottom w:w="80" w:type="dxa"/>
              <w:end w:w="100" w:type="dxa"/>
            </w:tcMar>
            <w:vAlign w:val="center"/>
            <w:shd w:fill="EAF4F7"/>
          </w:tcPr>
          <w:p>
            <w:pPr>
              <w:spacing w:after="20"/>
            </w:pPr>
            <w:r>
              <w:rPr>
                <w:sz w:val="16"/>
              </w:rPr>
              <w:t>Connection/token/TLS valid</w:t>
            </w:r>
          </w:p>
        </w:tc>
        <w:tc>
          <w:tcPr>
            <w:tcW w:w="2541" w:type="dxa"/>
            <w:tcMar>
              <w:top w:w="80" w:type="dxa"/>
              <w:start w:w="100" w:type="dxa"/>
              <w:bottom w:w="80" w:type="dxa"/>
              <w:end w:w="100" w:type="dxa"/>
            </w:tcMar>
            <w:vAlign w:val="center"/>
            <w:shd w:fill="EAF4F7"/>
          </w:tcPr>
          <w:p>
            <w:pPr>
              <w:spacing w:after="20"/>
            </w:pPr>
            <w:r>
              <w:rPr>
                <w:sz w:val="16"/>
              </w:rPr>
              <w:t>Basis/security</w:t>
            </w:r>
          </w:p>
        </w:tc>
      </w:tr>
      <w:tr>
        <w:trPr>
          <w:trHeight w:hRule="atLeast"/>
        </w:trPr>
        <w:tc>
          <w:tcPr>
            <w:tcW w:w="2541" w:type="dxa"/>
            <w:tcMar>
              <w:top w:w="80" w:type="dxa"/>
              <w:start w:w="100" w:type="dxa"/>
              <w:bottom w:w="80" w:type="dxa"/>
              <w:end w:w="100" w:type="dxa"/>
            </w:tcMar>
            <w:vAlign w:val="center"/>
          </w:tcPr>
          <w:p>
            <w:pPr>
              <w:spacing w:after="20"/>
            </w:pPr>
            <w:r>
              <w:rPr>
                <w:sz w:val="16"/>
              </w:rPr>
              <w:t>7</w:t>
            </w:r>
          </w:p>
        </w:tc>
        <w:tc>
          <w:tcPr>
            <w:tcW w:w="2541" w:type="dxa"/>
            <w:tcMar>
              <w:top w:w="80" w:type="dxa"/>
              <w:start w:w="100" w:type="dxa"/>
              <w:bottom w:w="80" w:type="dxa"/>
              <w:end w:w="100" w:type="dxa"/>
            </w:tcMar>
            <w:vAlign w:val="center"/>
          </w:tcPr>
          <w:p>
            <w:pPr>
              <w:spacing w:after="20"/>
            </w:pPr>
            <w:r>
              <w:rPr>
                <w:sz w:val="16"/>
              </w:rPr>
              <w:t>Event Mesh topic subscription</w:t>
            </w:r>
          </w:p>
        </w:tc>
        <w:tc>
          <w:tcPr>
            <w:tcW w:w="2541" w:type="dxa"/>
            <w:tcMar>
              <w:top w:w="80" w:type="dxa"/>
              <w:start w:w="100" w:type="dxa"/>
              <w:bottom w:w="80" w:type="dxa"/>
              <w:end w:w="100" w:type="dxa"/>
            </w:tcMar>
            <w:vAlign w:val="center"/>
          </w:tcPr>
          <w:p>
            <w:pPr>
              <w:spacing w:after="20"/>
            </w:pPr>
            <w:r>
              <w:rPr>
                <w:sz w:val="16"/>
              </w:rPr>
              <w:t>Exact namespace/topic matches</w:t>
            </w:r>
          </w:p>
        </w:tc>
        <w:tc>
          <w:tcPr>
            <w:tcW w:w="2541" w:type="dxa"/>
            <w:tcMar>
              <w:top w:w="80" w:type="dxa"/>
              <w:start w:w="100" w:type="dxa"/>
              <w:bottom w:w="80" w:type="dxa"/>
              <w:end w:w="100" w:type="dxa"/>
            </w:tcMar>
            <w:vAlign w:val="center"/>
          </w:tcPr>
          <w:p>
            <w:pPr>
              <w:spacing w:after="20"/>
            </w:pPr>
            <w:r>
              <w:rPr>
                <w:sz w:val="16"/>
              </w:rPr>
              <w:t>Integration/BTP</w:t>
            </w:r>
          </w:p>
        </w:tc>
      </w:tr>
      <w:tr>
        <w:trPr>
          <w:trHeight w:hRule="atLeast"/>
        </w:trPr>
        <w:tc>
          <w:tcPr>
            <w:tcW w:w="2541" w:type="dxa"/>
            <w:tcMar>
              <w:top w:w="80" w:type="dxa"/>
              <w:start w:w="100" w:type="dxa"/>
              <w:bottom w:w="80" w:type="dxa"/>
              <w:end w:w="100" w:type="dxa"/>
            </w:tcMar>
            <w:vAlign w:val="center"/>
            <w:shd w:fill="EAF4F7"/>
          </w:tcPr>
          <w:p>
            <w:pPr>
              <w:spacing w:after="20"/>
            </w:pPr>
            <w:r>
              <w:rPr>
                <w:sz w:val="16"/>
              </w:rPr>
              <w:t>8</w:t>
            </w:r>
          </w:p>
        </w:tc>
        <w:tc>
          <w:tcPr>
            <w:tcW w:w="2541" w:type="dxa"/>
            <w:tcMar>
              <w:top w:w="80" w:type="dxa"/>
              <w:start w:w="100" w:type="dxa"/>
              <w:bottom w:w="80" w:type="dxa"/>
              <w:end w:w="100" w:type="dxa"/>
            </w:tcMar>
            <w:vAlign w:val="center"/>
            <w:shd w:fill="EAF4F7"/>
          </w:tcPr>
          <w:p>
            <w:pPr>
              <w:spacing w:after="20"/>
            </w:pPr>
            <w:r>
              <w:rPr>
                <w:sz w:val="16"/>
              </w:rPr>
              <w:t>Event Mesh queue</w:t>
            </w:r>
          </w:p>
        </w:tc>
        <w:tc>
          <w:tcPr>
            <w:tcW w:w="2541" w:type="dxa"/>
            <w:tcMar>
              <w:top w:w="80" w:type="dxa"/>
              <w:start w:w="100" w:type="dxa"/>
              <w:bottom w:w="80" w:type="dxa"/>
              <w:end w:w="100" w:type="dxa"/>
            </w:tcMar>
            <w:vAlign w:val="center"/>
            <w:shd w:fill="EAF4F7"/>
          </w:tcPr>
          <w:p>
            <w:pPr>
              <w:spacing w:after="20"/>
            </w:pPr>
            <w:r>
              <w:rPr>
                <w:sz w:val="16"/>
              </w:rPr>
              <w:t>Message queued or consumed</w:t>
            </w:r>
          </w:p>
        </w:tc>
        <w:tc>
          <w:tcPr>
            <w:tcW w:w="2541" w:type="dxa"/>
            <w:tcMar>
              <w:top w:w="80" w:type="dxa"/>
              <w:start w:w="100" w:type="dxa"/>
              <w:bottom w:w="80" w:type="dxa"/>
              <w:end w:w="100" w:type="dxa"/>
            </w:tcMar>
            <w:vAlign w:val="center"/>
            <w:shd w:fill="EAF4F7"/>
          </w:tcPr>
          <w:p>
            <w:pPr>
              <w:spacing w:after="20"/>
            </w:pPr>
            <w:r>
              <w:rPr>
                <w:sz w:val="16"/>
              </w:rPr>
              <w:t>Integration/BTP</w:t>
            </w:r>
          </w:p>
        </w:tc>
      </w:tr>
      <w:tr>
        <w:trPr>
          <w:trHeight w:hRule="atLeast"/>
        </w:trPr>
        <w:tc>
          <w:tcPr>
            <w:tcW w:w="2541" w:type="dxa"/>
            <w:tcMar>
              <w:top w:w="80" w:type="dxa"/>
              <w:start w:w="100" w:type="dxa"/>
              <w:bottom w:w="80" w:type="dxa"/>
              <w:end w:w="100" w:type="dxa"/>
            </w:tcMar>
            <w:vAlign w:val="center"/>
          </w:tcPr>
          <w:p>
            <w:pPr>
              <w:spacing w:after="20"/>
            </w:pPr>
            <w:r>
              <w:rPr>
                <w:sz w:val="16"/>
              </w:rPr>
              <w:t>9</w:t>
            </w:r>
          </w:p>
        </w:tc>
        <w:tc>
          <w:tcPr>
            <w:tcW w:w="2541" w:type="dxa"/>
            <w:tcMar>
              <w:top w:w="80" w:type="dxa"/>
              <w:start w:w="100" w:type="dxa"/>
              <w:bottom w:w="80" w:type="dxa"/>
              <w:end w:w="100" w:type="dxa"/>
            </w:tcMar>
            <w:vAlign w:val="center"/>
          </w:tcPr>
          <w:p>
            <w:pPr>
              <w:spacing w:after="20"/>
            </w:pPr>
            <w:r>
              <w:rPr>
                <w:sz w:val="16"/>
              </w:rPr>
              <w:t>Cloud Integration monitor</w:t>
            </w:r>
          </w:p>
        </w:tc>
        <w:tc>
          <w:tcPr>
            <w:tcW w:w="2541" w:type="dxa"/>
            <w:tcMar>
              <w:top w:w="80" w:type="dxa"/>
              <w:start w:w="100" w:type="dxa"/>
              <w:bottom w:w="80" w:type="dxa"/>
              <w:end w:w="100" w:type="dxa"/>
            </w:tcMar>
            <w:vAlign w:val="center"/>
          </w:tcPr>
          <w:p>
            <w:pPr>
              <w:spacing w:after="20"/>
            </w:pPr>
            <w:r>
              <w:rPr>
                <w:sz w:val="16"/>
              </w:rPr>
              <w:t>iFlow deployed and processing</w:t>
            </w:r>
          </w:p>
        </w:tc>
        <w:tc>
          <w:tcPr>
            <w:tcW w:w="2541" w:type="dxa"/>
            <w:tcMar>
              <w:top w:w="80" w:type="dxa"/>
              <w:start w:w="100" w:type="dxa"/>
              <w:bottom w:w="80" w:type="dxa"/>
              <w:end w:w="100" w:type="dxa"/>
            </w:tcMar>
            <w:vAlign w:val="center"/>
          </w:tcPr>
          <w:p>
            <w:pPr>
              <w:spacing w:after="20"/>
            </w:pPr>
            <w:r>
              <w:rPr>
                <w:sz w:val="16"/>
              </w:rPr>
              <w:t>CPI developer</w:t>
            </w:r>
          </w:p>
        </w:tc>
      </w:tr>
      <w:tr>
        <w:trPr>
          <w:trHeight w:hRule="atLeast"/>
        </w:trPr>
        <w:tc>
          <w:tcPr>
            <w:tcW w:w="2541" w:type="dxa"/>
            <w:tcMar>
              <w:top w:w="80" w:type="dxa"/>
              <w:start w:w="100" w:type="dxa"/>
              <w:bottom w:w="80" w:type="dxa"/>
              <w:end w:w="100" w:type="dxa"/>
            </w:tcMar>
            <w:vAlign w:val="center"/>
            <w:shd w:fill="EAF4F7"/>
          </w:tcPr>
          <w:p>
            <w:pPr>
              <w:spacing w:after="20"/>
            </w:pPr>
            <w:r>
              <w:rPr>
                <w:sz w:val="16"/>
              </w:rPr>
              <w:t>10</w:t>
            </w:r>
          </w:p>
        </w:tc>
        <w:tc>
          <w:tcPr>
            <w:tcW w:w="2541" w:type="dxa"/>
            <w:tcMar>
              <w:top w:w="80" w:type="dxa"/>
              <w:start w:w="100" w:type="dxa"/>
              <w:bottom w:w="80" w:type="dxa"/>
              <w:end w:w="100" w:type="dxa"/>
            </w:tcMar>
            <w:vAlign w:val="center"/>
            <w:shd w:fill="EAF4F7"/>
          </w:tcPr>
          <w:p>
            <w:pPr>
              <w:spacing w:after="20"/>
            </w:pPr>
            <w:r>
              <w:rPr>
                <w:sz w:val="16"/>
              </w:rPr>
              <w:t>Target logs</w:t>
            </w:r>
          </w:p>
        </w:tc>
        <w:tc>
          <w:tcPr>
            <w:tcW w:w="2541" w:type="dxa"/>
            <w:tcMar>
              <w:top w:w="80" w:type="dxa"/>
              <w:start w:w="100" w:type="dxa"/>
              <w:bottom w:w="80" w:type="dxa"/>
              <w:end w:w="100" w:type="dxa"/>
            </w:tcMar>
            <w:vAlign w:val="center"/>
            <w:shd w:fill="EAF4F7"/>
          </w:tcPr>
          <w:p>
            <w:pPr>
              <w:spacing w:after="20"/>
            </w:pPr>
            <w:r>
              <w:rPr>
                <w:sz w:val="16"/>
              </w:rPr>
              <w:t>Business action completed</w:t>
            </w:r>
          </w:p>
        </w:tc>
        <w:tc>
          <w:tcPr>
            <w:tcW w:w="2541" w:type="dxa"/>
            <w:tcMar>
              <w:top w:w="80" w:type="dxa"/>
              <w:start w:w="100" w:type="dxa"/>
              <w:bottom w:w="80" w:type="dxa"/>
              <w:end w:w="100" w:type="dxa"/>
            </w:tcMar>
            <w:vAlign w:val="center"/>
            <w:shd w:fill="EAF4F7"/>
          </w:tcPr>
          <w:p>
            <w:pPr>
              <w:spacing w:after="20"/>
            </w:pPr>
            <w:r>
              <w:rPr>
                <w:sz w:val="16"/>
              </w:rPr>
              <w:t>Target owner</w:t>
            </w:r>
          </w:p>
        </w:tc>
      </w:tr>
    </w:tbl>
    <w:p>
      <w:pPr>
        <w:spacing w:after="20"/>
      </w:pPr>
    </w:p>
    <w:p>
      <w:pPr>
        <w:pStyle w:val="Heading2"/>
      </w:pPr>
      <w:r>
        <w:t>Decision tree</w:t>
      </w:r>
    </w:p>
    <w:p>
      <w:pPr>
        <w:pStyle w:val="CodeBlock"/>
        <w:shd w:fill="F2F5F7"/>
      </w:pPr>
      <w:r>
        <w:t>Event visible in S/4 Event Monitor?</w:t>
        <w:br/>
        <w:t xml:space="preserve"> ├─ No → event not generated, not bound, or framework/configuration issue</w:t>
        <w:br/>
        <w:t xml:space="preserve"> └─ Yes</w:t>
        <w:br/>
        <w:t xml:space="preserve">     │ status Failed?</w:t>
        <w:br/>
        <w:t xml:space="preserve">     ├─ Yes → inspect OAuth, TLS, destination, rejection and payload</w:t>
        <w:br/>
        <w:t xml:space="preserve">     └─ No/Acknowledged</w:t>
        <w:br/>
        <w:t xml:space="preserve">          │ message in queue?</w:t>
        <w:br/>
        <w:t xml:space="preserve">          ├─ No → topic/subscription/namespace problem</w:t>
        <w:br/>
        <w:t xml:space="preserve">          └─ Yes</w:t>
        <w:br/>
        <w:t xml:space="preserve">              │ consumer connected?</w:t>
        <w:br/>
        <w:t xml:space="preserve">              ├─ No → CPI/app connection or credential problem</w:t>
        <w:br/>
        <w:t xml:space="preserve">              └─ Yes → inspect consumer and target processing</w:t>
      </w:r>
    </w:p>
    <w:p>
      <w:r>
        <w:t>The Event Monitor retains failed events for correction/retry and exposes publish, arrival, consumption and failure timestamps. Event Mesh monitoring exposes queue depth, unacknowledged count, correlation ID, delivery count and redelivery information.</w:t>
      </w:r>
    </w:p>
    <w:p>
      <w:pPr>
        <w:pStyle w:val="Heading1"/>
      </w:pPr>
      <w:r>
        <w:t>8. Error Catalogue</w:t>
      </w:r>
    </w:p>
    <w:tbl>
      <w:tblPr>
        <w:tblStyle w:val="TableGrid"/>
        <w:tblW w:w="0" w:type="auto"/>
        <w:jc w:val="center"/>
        <w:tblLook w:val="04A0" w:firstRow="1" w:lastRow="0" w:firstColumn="1" w:lastColumn="0" w:noHBand="0" w:noVBand="1"/>
      </w:tblPr>
      <w:tblGrid>
        <w:gridCol w:w="3389"/>
        <w:gridCol w:w="3389"/>
        <w:gridCol w:w="3389"/>
      </w:tblGrid>
      <w:tr>
        <w:trPr>
          <w:trHeight w:hRule="atLeast"/>
          <w:tblHeader w:val="true"/>
        </w:trPr>
        <w:tc>
          <w:tcPr>
            <w:tcW w:w="3389" w:type="dxa"/>
            <w:shd w:fill="0B3768"/>
            <w:tcMar>
              <w:top w:w="80" w:type="dxa"/>
              <w:start w:w="100" w:type="dxa"/>
              <w:bottom w:w="80" w:type="dxa"/>
              <w:end w:w="100" w:type="dxa"/>
            </w:tcMar>
            <w:vAlign w:val="center"/>
          </w:tcPr>
          <w:p>
            <w:r>
              <w:rPr>
                <w:b/>
                <w:color w:val="FFFFFF"/>
                <w:sz w:val="17"/>
              </w:rPr>
              <w:t>Symptom</w:t>
            </w:r>
          </w:p>
        </w:tc>
        <w:tc>
          <w:tcPr>
            <w:tcW w:w="3389" w:type="dxa"/>
            <w:shd w:fill="0B3768"/>
            <w:tcMar>
              <w:top w:w="80" w:type="dxa"/>
              <w:start w:w="100" w:type="dxa"/>
              <w:bottom w:w="80" w:type="dxa"/>
              <w:end w:w="100" w:type="dxa"/>
            </w:tcMar>
            <w:vAlign w:val="center"/>
          </w:tcPr>
          <w:p>
            <w:r>
              <w:rPr>
                <w:b/>
                <w:color w:val="FFFFFF"/>
                <w:sz w:val="17"/>
              </w:rPr>
              <w:t>Verify</w:t>
            </w:r>
          </w:p>
        </w:tc>
        <w:tc>
          <w:tcPr>
            <w:tcW w:w="3389" w:type="dxa"/>
            <w:shd w:fill="0B3768"/>
            <w:tcMar>
              <w:top w:w="80" w:type="dxa"/>
              <w:start w:w="100" w:type="dxa"/>
              <w:bottom w:w="80" w:type="dxa"/>
              <w:end w:w="100" w:type="dxa"/>
            </w:tcMar>
            <w:vAlign w:val="center"/>
          </w:tcPr>
          <w:p>
            <w:r>
              <w:rPr>
                <w:b/>
                <w:color w:val="FFFFFF"/>
                <w:sz w:val="17"/>
              </w:rPr>
              <w:t>Resolution/owner</w:t>
            </w:r>
          </w:p>
        </w:tc>
      </w:tr>
      <w:tr>
        <w:trPr>
          <w:trHeight w:hRule="atLeast"/>
        </w:trPr>
        <w:tc>
          <w:tcPr>
            <w:tcW w:w="3389" w:type="dxa"/>
            <w:tcMar>
              <w:top w:w="80" w:type="dxa"/>
              <w:start w:w="100" w:type="dxa"/>
              <w:bottom w:w="80" w:type="dxa"/>
              <w:end w:w="100" w:type="dxa"/>
            </w:tcMar>
            <w:vAlign w:val="center"/>
          </w:tcPr>
          <w:p>
            <w:pPr>
              <w:spacing w:after="20"/>
            </w:pPr>
            <w:r>
              <w:rPr>
                <w:sz w:val="16"/>
              </w:rPr>
              <w:t>401/403</w:t>
            </w:r>
          </w:p>
        </w:tc>
        <w:tc>
          <w:tcPr>
            <w:tcW w:w="3389" w:type="dxa"/>
            <w:tcMar>
              <w:top w:w="80" w:type="dxa"/>
              <w:start w:w="100" w:type="dxa"/>
              <w:bottom w:w="80" w:type="dxa"/>
              <w:end w:w="100" w:type="dxa"/>
            </w:tcMar>
            <w:vAlign w:val="center"/>
          </w:tcPr>
          <w:p>
            <w:pPr>
              <w:spacing w:after="20"/>
            </w:pPr>
            <w:r>
              <w:rPr>
                <w:sz w:val="16"/>
              </w:rPr>
              <w:t>OAuth client, token, scopes, publish/subscribe rule</w:t>
            </w:r>
          </w:p>
        </w:tc>
        <w:tc>
          <w:tcPr>
            <w:tcW w:w="3389" w:type="dxa"/>
            <w:tcMar>
              <w:top w:w="80" w:type="dxa"/>
              <w:start w:w="100" w:type="dxa"/>
              <w:bottom w:w="80" w:type="dxa"/>
              <w:end w:w="100" w:type="dxa"/>
            </w:tcMar>
            <w:vAlign w:val="center"/>
          </w:tcPr>
          <w:p>
            <w:pPr>
              <w:spacing w:after="20"/>
            </w:pPr>
            <w:r>
              <w:rPr>
                <w:sz w:val="16"/>
              </w:rPr>
              <w:t>Rotate/fix credentials; security/BTP</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SSL handshake</w:t>
            </w:r>
          </w:p>
        </w:tc>
        <w:tc>
          <w:tcPr>
            <w:tcW w:w="3389" w:type="dxa"/>
            <w:tcMar>
              <w:top w:w="80" w:type="dxa"/>
              <w:start w:w="100" w:type="dxa"/>
              <w:bottom w:w="80" w:type="dxa"/>
              <w:end w:w="100" w:type="dxa"/>
            </w:tcMar>
            <w:vAlign w:val="center"/>
            <w:shd w:fill="EAF4F7"/>
          </w:tcPr>
          <w:p>
            <w:pPr>
              <w:spacing w:after="20"/>
            </w:pPr>
            <w:r>
              <w:rPr>
                <w:sz w:val="16"/>
              </w:rPr>
              <w:t>STRUST chain, hostname, expiry</w:t>
            </w:r>
          </w:p>
        </w:tc>
        <w:tc>
          <w:tcPr>
            <w:tcW w:w="3389" w:type="dxa"/>
            <w:tcMar>
              <w:top w:w="80" w:type="dxa"/>
              <w:start w:w="100" w:type="dxa"/>
              <w:bottom w:w="80" w:type="dxa"/>
              <w:end w:w="100" w:type="dxa"/>
            </w:tcMar>
            <w:vAlign w:val="center"/>
            <w:shd w:fill="EAF4F7"/>
          </w:tcPr>
          <w:p>
            <w:pPr>
              <w:spacing w:after="20"/>
            </w:pPr>
            <w:r>
              <w:rPr>
                <w:sz w:val="16"/>
              </w:rPr>
              <w:t>Import approved chain; Basis</w:t>
            </w:r>
          </w:p>
        </w:tc>
      </w:tr>
      <w:tr>
        <w:trPr>
          <w:trHeight w:hRule="atLeast"/>
        </w:trPr>
        <w:tc>
          <w:tcPr>
            <w:tcW w:w="3389" w:type="dxa"/>
            <w:tcMar>
              <w:top w:w="80" w:type="dxa"/>
              <w:start w:w="100" w:type="dxa"/>
              <w:bottom w:w="80" w:type="dxa"/>
              <w:end w:w="100" w:type="dxa"/>
            </w:tcMar>
            <w:vAlign w:val="center"/>
          </w:tcPr>
          <w:p>
            <w:pPr>
              <w:spacing w:after="20"/>
            </w:pPr>
            <w:r>
              <w:rPr>
                <w:sz w:val="16"/>
              </w:rPr>
              <w:t>Channel inactive</w:t>
            </w:r>
          </w:p>
        </w:tc>
        <w:tc>
          <w:tcPr>
            <w:tcW w:w="3389" w:type="dxa"/>
            <w:tcMar>
              <w:top w:w="80" w:type="dxa"/>
              <w:start w:w="100" w:type="dxa"/>
              <w:bottom w:w="80" w:type="dxa"/>
              <w:end w:w="100" w:type="dxa"/>
            </w:tcMar>
            <w:vAlign w:val="center"/>
          </w:tcPr>
          <w:p>
            <w:pPr>
              <w:spacing w:after="20"/>
            </w:pPr>
            <w:r>
              <w:rPr>
                <w:sz w:val="16"/>
              </w:rPr>
              <w:t>/IWXBE/CONFIG</w:t>
            </w:r>
          </w:p>
        </w:tc>
        <w:tc>
          <w:tcPr>
            <w:tcW w:w="3389" w:type="dxa"/>
            <w:tcMar>
              <w:top w:w="80" w:type="dxa"/>
              <w:start w:w="100" w:type="dxa"/>
              <w:bottom w:w="80" w:type="dxa"/>
              <w:end w:w="100" w:type="dxa"/>
            </w:tcMar>
            <w:vAlign w:val="center"/>
          </w:tcPr>
          <w:p>
            <w:pPr>
              <w:spacing w:after="20"/>
            </w:pPr>
            <w:r>
              <w:rPr>
                <w:sz w:val="16"/>
              </w:rPr>
              <w:t>Activate/fix connection; Basis</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Event absent</w:t>
            </w:r>
          </w:p>
        </w:tc>
        <w:tc>
          <w:tcPr>
            <w:tcW w:w="3389" w:type="dxa"/>
            <w:tcMar>
              <w:top w:w="80" w:type="dxa"/>
              <w:start w:w="100" w:type="dxa"/>
              <w:bottom w:w="80" w:type="dxa"/>
              <w:end w:w="100" w:type="dxa"/>
            </w:tcMar>
            <w:vAlign w:val="center"/>
            <w:shd w:fill="EAF4F7"/>
          </w:tcPr>
          <w:p>
            <w:pPr>
              <w:spacing w:after="20"/>
            </w:pPr>
            <w:r>
              <w:rPr>
                <w:sz w:val="16"/>
              </w:rPr>
              <w:t>event availability, commit, binding</w:t>
            </w:r>
          </w:p>
        </w:tc>
        <w:tc>
          <w:tcPr>
            <w:tcW w:w="3389" w:type="dxa"/>
            <w:tcMar>
              <w:top w:w="80" w:type="dxa"/>
              <w:start w:w="100" w:type="dxa"/>
              <w:bottom w:w="80" w:type="dxa"/>
              <w:end w:w="100" w:type="dxa"/>
            </w:tcMar>
            <w:vAlign w:val="center"/>
            <w:shd w:fill="EAF4F7"/>
          </w:tcPr>
          <w:p>
            <w:pPr>
              <w:spacing w:after="20"/>
            </w:pPr>
            <w:r>
              <w:rPr>
                <w:sz w:val="16"/>
              </w:rPr>
              <w:t>Correct source/binding; ABAP</w:t>
            </w:r>
          </w:p>
        </w:tc>
      </w:tr>
      <w:tr>
        <w:trPr>
          <w:trHeight w:hRule="atLeast"/>
        </w:trPr>
        <w:tc>
          <w:tcPr>
            <w:tcW w:w="3389" w:type="dxa"/>
            <w:tcMar>
              <w:top w:w="80" w:type="dxa"/>
              <w:start w:w="100" w:type="dxa"/>
              <w:bottom w:w="80" w:type="dxa"/>
              <w:end w:w="100" w:type="dxa"/>
            </w:tcMar>
            <w:vAlign w:val="center"/>
          </w:tcPr>
          <w:p>
            <w:pPr>
              <w:spacing w:after="20"/>
            </w:pPr>
            <w:r>
              <w:rPr>
                <w:sz w:val="16"/>
              </w:rPr>
              <w:t>Queue empty</w:t>
            </w:r>
          </w:p>
        </w:tc>
        <w:tc>
          <w:tcPr>
            <w:tcW w:w="3389" w:type="dxa"/>
            <w:tcMar>
              <w:top w:w="80" w:type="dxa"/>
              <w:start w:w="100" w:type="dxa"/>
              <w:bottom w:w="80" w:type="dxa"/>
              <w:end w:w="100" w:type="dxa"/>
            </w:tcMar>
            <w:vAlign w:val="center"/>
          </w:tcPr>
          <w:p>
            <w:pPr>
              <w:spacing w:after="20"/>
            </w:pPr>
            <w:r>
              <w:rPr>
                <w:sz w:val="16"/>
              </w:rPr>
              <w:t>exact topic/namespace/wildcard</w:t>
            </w:r>
          </w:p>
        </w:tc>
        <w:tc>
          <w:tcPr>
            <w:tcW w:w="3389" w:type="dxa"/>
            <w:tcMar>
              <w:top w:w="80" w:type="dxa"/>
              <w:start w:w="100" w:type="dxa"/>
              <w:bottom w:w="80" w:type="dxa"/>
              <w:end w:w="100" w:type="dxa"/>
            </w:tcMar>
            <w:vAlign w:val="center"/>
          </w:tcPr>
          <w:p>
            <w:pPr>
              <w:spacing w:after="20"/>
            </w:pPr>
            <w:r>
              <w:rPr>
                <w:sz w:val="16"/>
              </w:rPr>
              <w:t>Correct subscription; Event Mesh admin</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Queue rising</w:t>
            </w:r>
          </w:p>
        </w:tc>
        <w:tc>
          <w:tcPr>
            <w:tcW w:w="3389" w:type="dxa"/>
            <w:tcMar>
              <w:top w:w="80" w:type="dxa"/>
              <w:start w:w="100" w:type="dxa"/>
              <w:bottom w:w="80" w:type="dxa"/>
              <w:end w:w="100" w:type="dxa"/>
            </w:tcMar>
            <w:vAlign w:val="center"/>
            <w:shd w:fill="EAF4F7"/>
          </w:tcPr>
          <w:p>
            <w:pPr>
              <w:spacing w:after="20"/>
            </w:pPr>
            <w:r>
              <w:rPr>
                <w:sz w:val="16"/>
              </w:rPr>
              <w:t>consumer count, errors, rate</w:t>
            </w:r>
          </w:p>
        </w:tc>
        <w:tc>
          <w:tcPr>
            <w:tcW w:w="3389" w:type="dxa"/>
            <w:tcMar>
              <w:top w:w="80" w:type="dxa"/>
              <w:start w:w="100" w:type="dxa"/>
              <w:bottom w:w="80" w:type="dxa"/>
              <w:end w:w="100" w:type="dxa"/>
            </w:tcMar>
            <w:vAlign w:val="center"/>
            <w:shd w:fill="EAF4F7"/>
          </w:tcPr>
          <w:p>
            <w:pPr>
              <w:spacing w:after="20"/>
            </w:pPr>
            <w:r>
              <w:rPr>
                <w:sz w:val="16"/>
              </w:rPr>
              <w:t>Repair/scale consumer; Integration</w:t>
            </w:r>
          </w:p>
        </w:tc>
      </w:tr>
      <w:tr>
        <w:trPr>
          <w:trHeight w:hRule="atLeast"/>
        </w:trPr>
        <w:tc>
          <w:tcPr>
            <w:tcW w:w="3389" w:type="dxa"/>
            <w:tcMar>
              <w:top w:w="80" w:type="dxa"/>
              <w:start w:w="100" w:type="dxa"/>
              <w:bottom w:w="80" w:type="dxa"/>
              <w:end w:w="100" w:type="dxa"/>
            </w:tcMar>
            <w:vAlign w:val="center"/>
          </w:tcPr>
          <w:p>
            <w:pPr>
              <w:spacing w:after="20"/>
            </w:pPr>
            <w:r>
              <w:rPr>
                <w:sz w:val="16"/>
              </w:rPr>
              <w:t>Redelivery loop</w:t>
            </w:r>
          </w:p>
        </w:tc>
        <w:tc>
          <w:tcPr>
            <w:tcW w:w="3389" w:type="dxa"/>
            <w:tcMar>
              <w:top w:w="80" w:type="dxa"/>
              <w:start w:w="100" w:type="dxa"/>
              <w:bottom w:w="80" w:type="dxa"/>
              <w:end w:w="100" w:type="dxa"/>
            </w:tcMar>
            <w:vAlign w:val="center"/>
          </w:tcPr>
          <w:p>
            <w:pPr>
              <w:spacing w:after="20"/>
            </w:pPr>
            <w:r>
              <w:rPr>
                <w:sz w:val="16"/>
              </w:rPr>
              <w:t>delivery count, payload error</w:t>
            </w:r>
          </w:p>
        </w:tc>
        <w:tc>
          <w:tcPr>
            <w:tcW w:w="3389" w:type="dxa"/>
            <w:tcMar>
              <w:top w:w="80" w:type="dxa"/>
              <w:start w:w="100" w:type="dxa"/>
              <w:bottom w:w="80" w:type="dxa"/>
              <w:end w:w="100" w:type="dxa"/>
            </w:tcMar>
            <w:vAlign w:val="center"/>
          </w:tcPr>
          <w:p>
            <w:pPr>
              <w:spacing w:after="20"/>
            </w:pPr>
            <w:r>
              <w:rPr>
                <w:sz w:val="16"/>
              </w:rPr>
              <w:t>Limit retries, use DMQ; Integration</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Duplicate posting</w:t>
            </w:r>
          </w:p>
        </w:tc>
        <w:tc>
          <w:tcPr>
            <w:tcW w:w="3389" w:type="dxa"/>
            <w:tcMar>
              <w:top w:w="80" w:type="dxa"/>
              <w:start w:w="100" w:type="dxa"/>
              <w:bottom w:w="80" w:type="dxa"/>
              <w:end w:w="100" w:type="dxa"/>
            </w:tcMar>
            <w:vAlign w:val="center"/>
            <w:shd w:fill="EAF4F7"/>
          </w:tcPr>
          <w:p>
            <w:pPr>
              <w:spacing w:after="20"/>
            </w:pPr>
            <w:r>
              <w:rPr>
                <w:sz w:val="16"/>
              </w:rPr>
              <w:t>event ID/business key</w:t>
            </w:r>
          </w:p>
        </w:tc>
        <w:tc>
          <w:tcPr>
            <w:tcW w:w="3389" w:type="dxa"/>
            <w:tcMar>
              <w:top w:w="80" w:type="dxa"/>
              <w:start w:w="100" w:type="dxa"/>
              <w:bottom w:w="80" w:type="dxa"/>
              <w:end w:w="100" w:type="dxa"/>
            </w:tcMar>
            <w:vAlign w:val="center"/>
            <w:shd w:fill="EAF4F7"/>
          </w:tcPr>
          <w:p>
            <w:pPr>
              <w:spacing w:after="20"/>
            </w:pPr>
            <w:r>
              <w:rPr>
                <w:sz w:val="16"/>
              </w:rPr>
              <w:t>Implement idempotency; target/ABAP</w:t>
            </w:r>
          </w:p>
        </w:tc>
      </w:tr>
      <w:tr>
        <w:trPr>
          <w:trHeight w:hRule="atLeast"/>
        </w:trPr>
        <w:tc>
          <w:tcPr>
            <w:tcW w:w="3389" w:type="dxa"/>
            <w:tcMar>
              <w:top w:w="80" w:type="dxa"/>
              <w:start w:w="100" w:type="dxa"/>
              <w:bottom w:w="80" w:type="dxa"/>
              <w:end w:w="100" w:type="dxa"/>
            </w:tcMar>
            <w:vAlign w:val="center"/>
          </w:tcPr>
          <w:p>
            <w:pPr>
              <w:spacing w:after="20"/>
            </w:pPr>
            <w:r>
              <w:rPr>
                <w:sz w:val="16"/>
              </w:rPr>
              <w:t>Schema failure</w:t>
            </w:r>
          </w:p>
        </w:tc>
        <w:tc>
          <w:tcPr>
            <w:tcW w:w="3389" w:type="dxa"/>
            <w:tcMar>
              <w:top w:w="80" w:type="dxa"/>
              <w:start w:w="100" w:type="dxa"/>
              <w:bottom w:w="80" w:type="dxa"/>
              <w:end w:w="100" w:type="dxa"/>
            </w:tcMar>
            <w:vAlign w:val="center"/>
          </w:tcPr>
          <w:p>
            <w:pPr>
              <w:spacing w:after="20"/>
            </w:pPr>
            <w:r>
              <w:rPr>
                <w:sz w:val="16"/>
              </w:rPr>
              <w:t>event version and required fields</w:t>
            </w:r>
          </w:p>
        </w:tc>
        <w:tc>
          <w:tcPr>
            <w:tcW w:w="3389" w:type="dxa"/>
            <w:tcMar>
              <w:top w:w="80" w:type="dxa"/>
              <w:start w:w="100" w:type="dxa"/>
              <w:bottom w:w="80" w:type="dxa"/>
              <w:end w:w="100" w:type="dxa"/>
            </w:tcMar>
            <w:vAlign w:val="center"/>
          </w:tcPr>
          <w:p>
            <w:pPr>
              <w:spacing w:after="20"/>
            </w:pPr>
            <w:r>
              <w:rPr>
                <w:sz w:val="16"/>
              </w:rPr>
              <w:t>Compatible mapping/version; ABAP/CPI</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PROD only failure</w:t>
            </w:r>
          </w:p>
        </w:tc>
        <w:tc>
          <w:tcPr>
            <w:tcW w:w="3389" w:type="dxa"/>
            <w:tcMar>
              <w:top w:w="80" w:type="dxa"/>
              <w:start w:w="100" w:type="dxa"/>
              <w:bottom w:w="80" w:type="dxa"/>
              <w:end w:w="100" w:type="dxa"/>
            </w:tcMar>
            <w:vAlign w:val="center"/>
            <w:shd w:fill="EAF4F7"/>
          </w:tcPr>
          <w:p>
            <w:pPr>
              <w:spacing w:after="20"/>
            </w:pPr>
            <w:r>
              <w:rPr>
                <w:sz w:val="16"/>
              </w:rPr>
              <w:t>endpoints, entitlement, roles, secrets</w:t>
            </w:r>
          </w:p>
        </w:tc>
        <w:tc>
          <w:tcPr>
            <w:tcW w:w="3389" w:type="dxa"/>
            <w:tcMar>
              <w:top w:w="80" w:type="dxa"/>
              <w:start w:w="100" w:type="dxa"/>
              <w:bottom w:w="80" w:type="dxa"/>
              <w:end w:w="100" w:type="dxa"/>
            </w:tcMar>
            <w:vAlign w:val="center"/>
            <w:shd w:fill="EAF4F7"/>
          </w:tcPr>
          <w:p>
            <w:pPr>
              <w:spacing w:after="20"/>
            </w:pPr>
            <w:r>
              <w:rPr>
                <w:sz w:val="16"/>
              </w:rPr>
              <w:t>Compare environment config; BTP admin</w:t>
            </w:r>
          </w:p>
        </w:tc>
      </w:tr>
    </w:tbl>
    <w:p>
      <w:pPr>
        <w:spacing w:after="20"/>
      </w:pPr>
    </w:p>
    <w:p>
      <w:pPr>
        <w:pStyle w:val="Heading1"/>
      </w:pPr>
      <w:r>
        <w:t>9. Monitoring and Debugging</w:t>
      </w:r>
    </w:p>
    <w:p>
      <w:pPr>
        <w:pStyle w:val="Heading2"/>
      </w:pPr>
      <w:r>
        <w:t>ABAP-side</w:t>
      </w:r>
    </w:p>
    <w:p>
      <w:pPr>
        <w:pStyle w:val="ListBullet"/>
      </w:pPr>
      <w:r>
        <w:t>Event Monitor: topic, status, CloudEvent ID, payload, publish/fail time.</w:t>
      </w:r>
    </w:p>
    <w:p>
      <w:pPr>
        <w:pStyle w:val="ListBullet"/>
      </w:pPr>
      <w:r>
        <w:t>ST22: runtime errors in custom RAP or consumer logic.</w:t>
      </w:r>
    </w:p>
    <w:p>
      <w:pPr>
        <w:pStyle w:val="ListBullet"/>
      </w:pPr>
      <w:r>
        <w:t>SLG1: only when your application/framework writes an application log.</w:t>
      </w:r>
    </w:p>
    <w:p>
      <w:pPr>
        <w:pStyle w:val="ListBullet"/>
      </w:pPr>
      <w:r>
        <w:t>SM21/SMICM: system/network evidence.</w:t>
      </w:r>
    </w:p>
    <w:p>
      <w:pPr>
        <w:pStyle w:val="ListBullet"/>
      </w:pPr>
      <w:r>
        <w:t>External breakpoints: remote/event-consumption requests.</w:t>
      </w:r>
    </w:p>
    <w:p>
      <w:pPr>
        <w:pStyle w:val="ListBullet"/>
      </w:pPr>
      <w:r>
        <w:t>ADT tool-request debugging: useful with Event Consumption Model simulation.</w:t>
      </w:r>
    </w:p>
    <w:p>
      <w:r>
        <w:t>For RAP, place breakpoints in save_modified immediately before RAISE ENTITY EVENT. Remember that event handling is asynchronous; your handler may execute in another session after commit. Never add COMMIT WORK inside RAP behavior logic merely to force an event.</w:t>
      </w:r>
    </w:p>
    <w:p>
      <w:pPr>
        <w:pStyle w:val="Heading2"/>
      </w:pPr>
      <w:r>
        <w:t>Proving failure location</w:t>
      </w:r>
    </w:p>
    <w:p>
      <w:pPr>
        <w:pStyle w:val="ListBullet"/>
      </w:pPr>
      <w:r>
        <w:t>Event missing in S/4 monitor: before broker.</w:t>
      </w:r>
    </w:p>
    <w:p>
      <w:pPr>
        <w:pStyle w:val="ListBullet"/>
      </w:pPr>
      <w:r>
        <w:t>Event acknowledged by S/4 but absent from expected queue: routing/subscription.</w:t>
      </w:r>
    </w:p>
    <w:p>
      <w:pPr>
        <w:pStyle w:val="ListBullet"/>
      </w:pPr>
      <w:r>
        <w:t>Message waiting in queue: consumer side.</w:t>
      </w:r>
    </w:p>
    <w:p>
      <w:pPr>
        <w:pStyle w:val="ListBullet"/>
      </w:pPr>
      <w:r>
        <w:t>Queue consumed but business missing: CPI or target side.</w:t>
      </w:r>
    </w:p>
    <w:p>
      <w:pPr>
        <w:pStyle w:val="Heading1"/>
      </w:pPr>
      <w:r>
        <w:t>10. Security Checklist</w:t>
      </w:r>
    </w:p>
    <w:p>
      <w:r>
        <w:t>On-premise/private commonly uses SM59, OAuth 2.0 and TLS trust; SAP documents creating a type-G HTTP destination and importing the BTP certificate chain through STRUST. Messaging applications authenticate with OAuth tokens created from the Event Mesh message-client service instance.</w:t>
      </w:r>
    </w:p>
    <w:p>
      <w:r>
        <w:t>ABAP developer verifies:</w:t>
      </w:r>
    </w:p>
    <w:p>
      <w:pPr>
        <w:pStyle w:val="ListBullet"/>
      </w:pPr>
      <w:r>
        <w:t>no secrets are hard-coded;</w:t>
      </w:r>
    </w:p>
    <w:p>
      <w:pPr>
        <w:pStyle w:val="ListBullet"/>
      </w:pPr>
      <w:r>
        <w:t>correct Event Binding and topic;</w:t>
      </w:r>
    </w:p>
    <w:p>
      <w:pPr>
        <w:pStyle w:val="ListBullet"/>
      </w:pPr>
      <w:r>
        <w:t>authorized runtime user;</w:t>
      </w:r>
    </w:p>
    <w:p>
      <w:pPr>
        <w:pStyle w:val="ListBullet"/>
      </w:pPr>
      <w:r>
        <w:t>payload does not expose unnecessary sensitive data;</w:t>
      </w:r>
    </w:p>
    <w:p>
      <w:pPr>
        <w:pStyle w:val="ListBullet"/>
      </w:pPr>
      <w:r>
        <w:t>released APIs and contracts are used.</w:t>
      </w:r>
    </w:p>
    <w:p>
      <w:r>
        <w:t>BTP/security team owns service instances, role collections, client-secret rotation, broker permissions, certificates and environment separation.</w:t>
      </w:r>
    </w:p>
    <w:p>
      <w:pPr>
        <w:pStyle w:val="Heading1"/>
      </w:pPr>
      <w:r>
        <w:t>11. Ten Project Scenarios</w:t>
      </w:r>
    </w:p>
    <w:tbl>
      <w:tblPr>
        <w:tblStyle w:val="TableGrid"/>
        <w:tblW w:w="0" w:type="auto"/>
        <w:jc w:val="center"/>
        <w:tblLook w:val="04A0" w:firstRow="1" w:lastRow="0" w:firstColumn="1" w:lastColumn="0" w:noHBand="0" w:noVBand="1"/>
      </w:tblPr>
      <w:tblGrid>
        <w:gridCol w:w="3389"/>
        <w:gridCol w:w="3389"/>
        <w:gridCol w:w="3389"/>
      </w:tblGrid>
      <w:tr>
        <w:trPr>
          <w:trHeight w:hRule="atLeast"/>
          <w:tblHeader w:val="true"/>
        </w:trPr>
        <w:tc>
          <w:tcPr>
            <w:tcW w:w="3389" w:type="dxa"/>
            <w:shd w:fill="0B3768"/>
            <w:tcMar>
              <w:top w:w="80" w:type="dxa"/>
              <w:start w:w="100" w:type="dxa"/>
              <w:bottom w:w="80" w:type="dxa"/>
              <w:end w:w="100" w:type="dxa"/>
            </w:tcMar>
            <w:vAlign w:val="center"/>
          </w:tcPr>
          <w:p>
            <w:r>
              <w:rPr>
                <w:b/>
                <w:color w:val="FFFFFF"/>
                <w:sz w:val="17"/>
              </w:rPr>
              <w:t>Scenario</w:t>
            </w:r>
          </w:p>
        </w:tc>
        <w:tc>
          <w:tcPr>
            <w:tcW w:w="3389" w:type="dxa"/>
            <w:shd w:fill="0B3768"/>
            <w:tcMar>
              <w:top w:w="80" w:type="dxa"/>
              <w:start w:w="100" w:type="dxa"/>
              <w:bottom w:w="80" w:type="dxa"/>
              <w:end w:w="100" w:type="dxa"/>
            </w:tcMar>
            <w:vAlign w:val="center"/>
          </w:tcPr>
          <w:p>
            <w:r>
              <w:rPr>
                <w:b/>
                <w:color w:val="FFFFFF"/>
                <w:sz w:val="17"/>
              </w:rPr>
              <w:t>Event decision</w:t>
            </w:r>
          </w:p>
        </w:tc>
        <w:tc>
          <w:tcPr>
            <w:tcW w:w="3389" w:type="dxa"/>
            <w:shd w:fill="0B3768"/>
            <w:tcMar>
              <w:top w:w="80" w:type="dxa"/>
              <w:start w:w="100" w:type="dxa"/>
              <w:bottom w:w="80" w:type="dxa"/>
              <w:end w:w="100" w:type="dxa"/>
            </w:tcMar>
            <w:vAlign w:val="center"/>
          </w:tcPr>
          <w:p>
            <w:r>
              <w:rPr>
                <w:b/>
                <w:color w:val="FFFFFF"/>
                <w:sz w:val="17"/>
              </w:rPr>
              <w:t>Consumer/support focus</w:t>
            </w:r>
          </w:p>
        </w:tc>
      </w:tr>
      <w:tr>
        <w:trPr>
          <w:trHeight w:hRule="atLeast"/>
        </w:trPr>
        <w:tc>
          <w:tcPr>
            <w:tcW w:w="3389" w:type="dxa"/>
            <w:tcMar>
              <w:top w:w="80" w:type="dxa"/>
              <w:start w:w="100" w:type="dxa"/>
              <w:bottom w:w="80" w:type="dxa"/>
              <w:end w:w="100" w:type="dxa"/>
            </w:tcMar>
            <w:vAlign w:val="center"/>
          </w:tcPr>
          <w:p>
            <w:pPr>
              <w:spacing w:after="20"/>
            </w:pPr>
            <w:r>
              <w:rPr>
                <w:sz w:val="16"/>
              </w:rPr>
              <w:t>Sales order</w:t>
            </w:r>
          </w:p>
        </w:tc>
        <w:tc>
          <w:tcPr>
            <w:tcW w:w="3389" w:type="dxa"/>
            <w:tcMar>
              <w:top w:w="80" w:type="dxa"/>
              <w:start w:w="100" w:type="dxa"/>
              <w:bottom w:w="80" w:type="dxa"/>
              <w:end w:w="100" w:type="dxa"/>
            </w:tcMar>
            <w:vAlign w:val="center"/>
          </w:tcPr>
          <w:p>
            <w:pPr>
              <w:spacing w:after="20"/>
            </w:pPr>
            <w:r>
              <w:rPr>
                <w:sz w:val="16"/>
              </w:rPr>
              <w:t>Verified standard Created event</w:t>
            </w:r>
          </w:p>
        </w:tc>
        <w:tc>
          <w:tcPr>
            <w:tcW w:w="3389" w:type="dxa"/>
            <w:tcMar>
              <w:top w:w="80" w:type="dxa"/>
              <w:start w:w="100" w:type="dxa"/>
              <w:bottom w:w="80" w:type="dxa"/>
              <w:end w:w="100" w:type="dxa"/>
            </w:tcMar>
            <w:vAlign w:val="center"/>
          </w:tcPr>
          <w:p>
            <w:pPr>
              <w:spacing w:after="20"/>
            </w:pPr>
            <w:r>
              <w:rPr>
                <w:sz w:val="16"/>
              </w:rPr>
              <w:t>WMS; deduplicate by order ID</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Purchase order</w:t>
            </w:r>
          </w:p>
        </w:tc>
        <w:tc>
          <w:tcPr>
            <w:tcW w:w="3389" w:type="dxa"/>
            <w:tcMar>
              <w:top w:w="80" w:type="dxa"/>
              <w:start w:w="100" w:type="dxa"/>
              <w:bottom w:w="80" w:type="dxa"/>
              <w:end w:w="100" w:type="dxa"/>
            </w:tcMar>
            <w:vAlign w:val="center"/>
            <w:shd w:fill="EAF4F7"/>
          </w:tcPr>
          <w:p>
            <w:pPr>
              <w:spacing w:after="20"/>
            </w:pPr>
            <w:r>
              <w:rPr>
                <w:sz w:val="16"/>
              </w:rPr>
              <w:t>Verified standard Created event</w:t>
            </w:r>
          </w:p>
        </w:tc>
        <w:tc>
          <w:tcPr>
            <w:tcW w:w="3389" w:type="dxa"/>
            <w:tcMar>
              <w:top w:w="80" w:type="dxa"/>
              <w:start w:w="100" w:type="dxa"/>
              <w:bottom w:w="80" w:type="dxa"/>
              <w:end w:w="100" w:type="dxa"/>
            </w:tcMar>
            <w:vAlign w:val="center"/>
            <w:shd w:fill="EAF4F7"/>
          </w:tcPr>
          <w:p>
            <w:pPr>
              <w:spacing w:after="20"/>
            </w:pPr>
            <w:r>
              <w:rPr>
                <w:sz w:val="16"/>
              </w:rPr>
              <w:t>Supplier portal; validate PO key</w:t>
            </w:r>
          </w:p>
        </w:tc>
      </w:tr>
      <w:tr>
        <w:trPr>
          <w:trHeight w:hRule="atLeast"/>
        </w:trPr>
        <w:tc>
          <w:tcPr>
            <w:tcW w:w="3389" w:type="dxa"/>
            <w:tcMar>
              <w:top w:w="80" w:type="dxa"/>
              <w:start w:w="100" w:type="dxa"/>
              <w:bottom w:w="80" w:type="dxa"/>
              <w:end w:w="100" w:type="dxa"/>
            </w:tcMar>
            <w:vAlign w:val="center"/>
          </w:tcPr>
          <w:p>
            <w:pPr>
              <w:spacing w:after="20"/>
            </w:pPr>
            <w:r>
              <w:rPr>
                <w:sz w:val="16"/>
              </w:rPr>
              <w:t>Outbound delivery</w:t>
            </w:r>
          </w:p>
        </w:tc>
        <w:tc>
          <w:tcPr>
            <w:tcW w:w="3389" w:type="dxa"/>
            <w:tcMar>
              <w:top w:w="80" w:type="dxa"/>
              <w:start w:w="100" w:type="dxa"/>
              <w:bottom w:w="80" w:type="dxa"/>
              <w:end w:w="100" w:type="dxa"/>
            </w:tcMar>
            <w:vAlign w:val="center"/>
          </w:tcPr>
          <w:p>
            <w:pPr>
              <w:spacing w:after="20"/>
            </w:pPr>
            <w:r>
              <w:rPr>
                <w:sz w:val="16"/>
              </w:rPr>
              <w:t>Verified standard Created/GI-status events</w:t>
            </w:r>
          </w:p>
        </w:tc>
        <w:tc>
          <w:tcPr>
            <w:tcW w:w="3389" w:type="dxa"/>
            <w:tcMar>
              <w:top w:w="80" w:type="dxa"/>
              <w:start w:w="100" w:type="dxa"/>
              <w:bottom w:w="80" w:type="dxa"/>
              <w:end w:w="100" w:type="dxa"/>
            </w:tcMar>
            <w:vAlign w:val="center"/>
          </w:tcPr>
          <w:p>
            <w:pPr>
              <w:spacing w:after="20"/>
            </w:pPr>
            <w:r>
              <w:rPr>
                <w:sz w:val="16"/>
              </w:rPr>
              <w:t>Carrier; filter delivery type</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Business partner</w:t>
            </w:r>
          </w:p>
        </w:tc>
        <w:tc>
          <w:tcPr>
            <w:tcW w:w="3389" w:type="dxa"/>
            <w:tcMar>
              <w:top w:w="80" w:type="dxa"/>
              <w:start w:w="100" w:type="dxa"/>
              <w:bottom w:w="80" w:type="dxa"/>
              <w:end w:w="100" w:type="dxa"/>
            </w:tcMar>
            <w:vAlign w:val="center"/>
            <w:shd w:fill="EAF4F7"/>
          </w:tcPr>
          <w:p>
            <w:pPr>
              <w:spacing w:after="20"/>
            </w:pPr>
            <w:r>
              <w:rPr>
                <w:sz w:val="16"/>
              </w:rPr>
              <w:t>Verified standard Changed event</w:t>
            </w:r>
          </w:p>
        </w:tc>
        <w:tc>
          <w:tcPr>
            <w:tcW w:w="3389" w:type="dxa"/>
            <w:tcMar>
              <w:top w:w="80" w:type="dxa"/>
              <w:start w:w="100" w:type="dxa"/>
              <w:bottom w:w="80" w:type="dxa"/>
              <w:end w:w="100" w:type="dxa"/>
            </w:tcMar>
            <w:vAlign w:val="center"/>
            <w:shd w:fill="EAF4F7"/>
          </w:tcPr>
          <w:p>
            <w:pPr>
              <w:spacing w:after="20"/>
            </w:pPr>
            <w:r>
              <w:rPr>
                <w:sz w:val="16"/>
              </w:rPr>
              <w:t>CRM; personal-data controls</w:t>
            </w:r>
          </w:p>
        </w:tc>
      </w:tr>
      <w:tr>
        <w:trPr>
          <w:trHeight w:hRule="atLeast"/>
        </w:trPr>
        <w:tc>
          <w:tcPr>
            <w:tcW w:w="3389" w:type="dxa"/>
            <w:tcMar>
              <w:top w:w="80" w:type="dxa"/>
              <w:start w:w="100" w:type="dxa"/>
              <w:bottom w:w="80" w:type="dxa"/>
              <w:end w:w="100" w:type="dxa"/>
            </w:tcMar>
            <w:vAlign w:val="center"/>
          </w:tcPr>
          <w:p>
            <w:pPr>
              <w:spacing w:after="20"/>
            </w:pPr>
            <w:r>
              <w:rPr>
                <w:sz w:val="16"/>
              </w:rPr>
              <w:t>Invoice</w:t>
            </w:r>
          </w:p>
        </w:tc>
        <w:tc>
          <w:tcPr>
            <w:tcW w:w="3389" w:type="dxa"/>
            <w:tcMar>
              <w:top w:w="80" w:type="dxa"/>
              <w:start w:w="100" w:type="dxa"/>
              <w:bottom w:w="80" w:type="dxa"/>
              <w:end w:w="100" w:type="dxa"/>
            </w:tcMar>
            <w:vAlign w:val="center"/>
          </w:tcPr>
          <w:p>
            <w:pPr>
              <w:spacing w:after="20"/>
            </w:pPr>
            <w:r>
              <w:rPr>
                <w:sz w:val="16"/>
              </w:rPr>
              <w:t>Verify billing-document event per release; otherwise custom design</w:t>
            </w:r>
          </w:p>
        </w:tc>
        <w:tc>
          <w:tcPr>
            <w:tcW w:w="3389" w:type="dxa"/>
            <w:tcMar>
              <w:top w:w="80" w:type="dxa"/>
              <w:start w:w="100" w:type="dxa"/>
              <w:bottom w:w="80" w:type="dxa"/>
              <w:end w:w="100" w:type="dxa"/>
            </w:tcMar>
            <w:vAlign w:val="center"/>
          </w:tcPr>
          <w:p>
            <w:pPr>
              <w:spacing w:after="20"/>
            </w:pPr>
            <w:r>
              <w:rPr>
                <w:sz w:val="16"/>
              </w:rPr>
              <w:t>Customer portal</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Material/product</w:t>
            </w:r>
          </w:p>
        </w:tc>
        <w:tc>
          <w:tcPr>
            <w:tcW w:w="3389" w:type="dxa"/>
            <w:tcMar>
              <w:top w:w="80" w:type="dxa"/>
              <w:start w:w="100" w:type="dxa"/>
              <w:bottom w:w="80" w:type="dxa"/>
              <w:end w:w="100" w:type="dxa"/>
            </w:tcMar>
            <w:vAlign w:val="center"/>
            <w:shd w:fill="EAF4F7"/>
          </w:tcPr>
          <w:p>
            <w:pPr>
              <w:spacing w:after="20"/>
            </w:pPr>
            <w:r>
              <w:rPr>
                <w:sz w:val="16"/>
              </w:rPr>
              <w:t>Verify exact released event; do not assume MaterialCreated</w:t>
            </w:r>
          </w:p>
        </w:tc>
        <w:tc>
          <w:tcPr>
            <w:tcW w:w="3389" w:type="dxa"/>
            <w:tcMar>
              <w:top w:w="80" w:type="dxa"/>
              <w:start w:w="100" w:type="dxa"/>
              <w:bottom w:w="80" w:type="dxa"/>
              <w:end w:w="100" w:type="dxa"/>
            </w:tcMar>
            <w:vAlign w:val="center"/>
            <w:shd w:fill="EAF4F7"/>
          </w:tcPr>
          <w:p>
            <w:pPr>
              <w:spacing w:after="20"/>
            </w:pPr>
            <w:r>
              <w:rPr>
                <w:sz w:val="16"/>
              </w:rPr>
              <w:t>PIM/commerce</w:t>
            </w:r>
          </w:p>
        </w:tc>
      </w:tr>
      <w:tr>
        <w:trPr>
          <w:trHeight w:hRule="atLeast"/>
        </w:trPr>
        <w:tc>
          <w:tcPr>
            <w:tcW w:w="3389" w:type="dxa"/>
            <w:tcMar>
              <w:top w:w="80" w:type="dxa"/>
              <w:start w:w="100" w:type="dxa"/>
              <w:bottom w:w="80" w:type="dxa"/>
              <w:end w:w="100" w:type="dxa"/>
            </w:tcMar>
            <w:vAlign w:val="center"/>
          </w:tcPr>
          <w:p>
            <w:pPr>
              <w:spacing w:after="20"/>
            </w:pPr>
            <w:r>
              <w:rPr>
                <w:sz w:val="16"/>
              </w:rPr>
              <w:t>Inventory</w:t>
            </w:r>
          </w:p>
        </w:tc>
        <w:tc>
          <w:tcPr>
            <w:tcW w:w="3389" w:type="dxa"/>
            <w:tcMar>
              <w:top w:w="80" w:type="dxa"/>
              <w:start w:w="100" w:type="dxa"/>
              <w:bottom w:w="80" w:type="dxa"/>
              <w:end w:w="100" w:type="dxa"/>
            </w:tcMar>
            <w:vAlign w:val="center"/>
          </w:tcPr>
          <w:p>
            <w:pPr>
              <w:spacing w:after="20"/>
            </w:pPr>
            <w:r>
              <w:rPr>
                <w:sz w:val="16"/>
              </w:rPr>
              <w:t>Assess material-document event/API or custom RAP event</w:t>
            </w:r>
          </w:p>
        </w:tc>
        <w:tc>
          <w:tcPr>
            <w:tcW w:w="3389" w:type="dxa"/>
            <w:tcMar>
              <w:top w:w="80" w:type="dxa"/>
              <w:start w:w="100" w:type="dxa"/>
              <w:bottom w:w="80" w:type="dxa"/>
              <w:end w:w="100" w:type="dxa"/>
            </w:tcMar>
            <w:vAlign w:val="center"/>
          </w:tcPr>
          <w:p>
            <w:pPr>
              <w:spacing w:after="20"/>
            </w:pPr>
            <w:r>
              <w:rPr>
                <w:sz w:val="16"/>
              </w:rPr>
              <w:t>Commerce stock</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Custom quality decision</w:t>
            </w:r>
          </w:p>
        </w:tc>
        <w:tc>
          <w:tcPr>
            <w:tcW w:w="3389" w:type="dxa"/>
            <w:tcMar>
              <w:top w:w="80" w:type="dxa"/>
              <w:start w:w="100" w:type="dxa"/>
              <w:bottom w:w="80" w:type="dxa"/>
              <w:end w:w="100" w:type="dxa"/>
            </w:tcMar>
            <w:vAlign w:val="center"/>
            <w:shd w:fill="EAF4F7"/>
          </w:tcPr>
          <w:p>
            <w:pPr>
              <w:spacing w:after="20"/>
            </w:pPr>
            <w:r>
              <w:rPr>
                <w:sz w:val="16"/>
              </w:rPr>
              <w:t>Custom RAP InspectionDecisionRecorded</w:t>
            </w:r>
          </w:p>
        </w:tc>
        <w:tc>
          <w:tcPr>
            <w:tcW w:w="3389" w:type="dxa"/>
            <w:tcMar>
              <w:top w:w="80" w:type="dxa"/>
              <w:start w:w="100" w:type="dxa"/>
              <w:bottom w:w="80" w:type="dxa"/>
              <w:end w:w="100" w:type="dxa"/>
            </w:tcMar>
            <w:vAlign w:val="center"/>
            <w:shd w:fill="EAF4F7"/>
          </w:tcPr>
          <w:p>
            <w:pPr>
              <w:spacing w:after="20"/>
            </w:pPr>
            <w:r>
              <w:rPr>
                <w:sz w:val="16"/>
              </w:rPr>
              <w:t>MES</w:t>
            </w:r>
          </w:p>
        </w:tc>
      </w:tr>
      <w:tr>
        <w:trPr>
          <w:trHeight w:hRule="atLeast"/>
        </w:trPr>
        <w:tc>
          <w:tcPr>
            <w:tcW w:w="3389" w:type="dxa"/>
            <w:tcMar>
              <w:top w:w="80" w:type="dxa"/>
              <w:start w:w="100" w:type="dxa"/>
              <w:bottom w:w="80" w:type="dxa"/>
              <w:end w:w="100" w:type="dxa"/>
            </w:tcMar>
            <w:vAlign w:val="center"/>
          </w:tcPr>
          <w:p>
            <w:pPr>
              <w:spacing w:after="20"/>
            </w:pPr>
            <w:r>
              <w:rPr>
                <w:sz w:val="16"/>
              </w:rPr>
              <w:t>Custom HU movement</w:t>
            </w:r>
          </w:p>
        </w:tc>
        <w:tc>
          <w:tcPr>
            <w:tcW w:w="3389" w:type="dxa"/>
            <w:tcMar>
              <w:top w:w="80" w:type="dxa"/>
              <w:start w:w="100" w:type="dxa"/>
              <w:bottom w:w="80" w:type="dxa"/>
              <w:end w:w="100" w:type="dxa"/>
            </w:tcMar>
            <w:vAlign w:val="center"/>
          </w:tcPr>
          <w:p>
            <w:pPr>
              <w:spacing w:after="20"/>
            </w:pPr>
            <w:r>
              <w:rPr>
                <w:sz w:val="16"/>
              </w:rPr>
              <w:t>Custom RAP/event-enabled extension if appropriate</w:t>
            </w:r>
          </w:p>
        </w:tc>
        <w:tc>
          <w:tcPr>
            <w:tcW w:w="3389" w:type="dxa"/>
            <w:tcMar>
              <w:top w:w="80" w:type="dxa"/>
              <w:start w:w="100" w:type="dxa"/>
              <w:bottom w:w="80" w:type="dxa"/>
              <w:end w:w="100" w:type="dxa"/>
            </w:tcMar>
            <w:vAlign w:val="center"/>
          </w:tcPr>
          <w:p>
            <w:pPr>
              <w:spacing w:after="20"/>
            </w:pPr>
            <w:r>
              <w:rPr>
                <w:sz w:val="16"/>
              </w:rPr>
              <w:t>TRASCAR/WMS</w:t>
            </w:r>
          </w:p>
        </w:tc>
      </w:tr>
      <w:tr>
        <w:trPr>
          <w:trHeight w:hRule="atLeast"/>
        </w:trPr>
        <w:tc>
          <w:tcPr>
            <w:tcW w:w="3389" w:type="dxa"/>
            <w:tcMar>
              <w:top w:w="80" w:type="dxa"/>
              <w:start w:w="100" w:type="dxa"/>
              <w:bottom w:w="80" w:type="dxa"/>
              <w:end w:w="100" w:type="dxa"/>
            </w:tcMar>
            <w:vAlign w:val="center"/>
            <w:shd w:fill="EAF4F7"/>
          </w:tcPr>
          <w:p>
            <w:pPr>
              <w:spacing w:after="20"/>
            </w:pPr>
            <w:r>
              <w:rPr>
                <w:sz w:val="16"/>
              </w:rPr>
              <w:t>Production-order milestone</w:t>
            </w:r>
          </w:p>
        </w:tc>
        <w:tc>
          <w:tcPr>
            <w:tcW w:w="3389" w:type="dxa"/>
            <w:tcMar>
              <w:top w:w="80" w:type="dxa"/>
              <w:start w:w="100" w:type="dxa"/>
              <w:bottom w:w="80" w:type="dxa"/>
              <w:end w:w="100" w:type="dxa"/>
            </w:tcMar>
            <w:vAlign w:val="center"/>
            <w:shd w:fill="EAF4F7"/>
          </w:tcPr>
          <w:p>
            <w:pPr>
              <w:spacing w:after="20"/>
            </w:pPr>
            <w:r>
              <w:rPr>
                <w:sz w:val="16"/>
              </w:rPr>
              <w:t>Verify standard event; otherwise custom event after committed state</w:t>
            </w:r>
          </w:p>
        </w:tc>
        <w:tc>
          <w:tcPr>
            <w:tcW w:w="3389" w:type="dxa"/>
            <w:tcMar>
              <w:top w:w="80" w:type="dxa"/>
              <w:start w:w="100" w:type="dxa"/>
              <w:bottom w:w="80" w:type="dxa"/>
              <w:end w:w="100" w:type="dxa"/>
            </w:tcMar>
            <w:vAlign w:val="center"/>
            <w:shd w:fill="EAF4F7"/>
          </w:tcPr>
          <w:p>
            <w:pPr>
              <w:spacing w:after="20"/>
            </w:pPr>
            <w:r>
              <w:rPr>
                <w:sz w:val="16"/>
              </w:rPr>
              <w:t>MES/analytics</w:t>
            </w:r>
          </w:p>
        </w:tc>
      </w:tr>
    </w:tbl>
    <w:p>
      <w:pPr>
        <w:spacing w:after="20"/>
      </w:pPr>
    </w:p>
    <w:p>
      <w:r>
        <w:t>For each project, document: source object, exact event version, topic, payload, queue owner, consumer, retries, idempotency key, security classification, monitoring and replay process.</w:t>
      </w:r>
    </w:p>
    <w:p>
      <w:pPr>
        <w:pStyle w:val="Heading1"/>
      </w:pPr>
      <w:r>
        <w:t>12. Production Support Runbook</w:t>
      </w:r>
    </w:p>
    <w:p>
      <w:pPr>
        <w:ind w:left="317" w:hanging="317"/>
      </w:pPr>
      <w:r>
        <w:rPr>
          <w:b/>
        </w:rPr>
        <w:t xml:space="preserve">1. </w:t>
      </w:r>
      <w:r>
        <w:t>Record system, client, UTC time, business key and expected target.</w:t>
      </w:r>
    </w:p>
    <w:p>
      <w:pPr>
        <w:ind w:left="317" w:hanging="317"/>
      </w:pPr>
      <w:r>
        <w:rPr>
          <w:b/>
        </w:rPr>
        <w:t xml:space="preserve">2. </w:t>
      </w:r>
      <w:r>
        <w:t>Confirm the source transaction committed.</w:t>
      </w:r>
    </w:p>
    <w:p>
      <w:pPr>
        <w:ind w:left="317" w:hanging="317"/>
      </w:pPr>
      <w:r>
        <w:rPr>
          <w:b/>
        </w:rPr>
        <w:t xml:space="preserve">3. </w:t>
      </w:r>
      <w:r>
        <w:t>Capture CloudEvent/correlation ID.</w:t>
      </w:r>
    </w:p>
    <w:p>
      <w:pPr>
        <w:ind w:left="317" w:hanging="317"/>
      </w:pPr>
      <w:r>
        <w:rPr>
          <w:b/>
        </w:rPr>
        <w:t xml:space="preserve">4. </w:t>
      </w:r>
      <w:r>
        <w:t>Check S/4 Event Monitor.</w:t>
      </w:r>
    </w:p>
    <w:p>
      <w:pPr>
        <w:ind w:left="317" w:hanging="317"/>
      </w:pPr>
      <w:r>
        <w:rPr>
          <w:b/>
        </w:rPr>
        <w:t xml:space="preserve">5. </w:t>
      </w:r>
      <w:r>
        <w:t>Check channel and outbound binding.</w:t>
      </w:r>
    </w:p>
    <w:p>
      <w:pPr>
        <w:ind w:left="317" w:hanging="317"/>
      </w:pPr>
      <w:r>
        <w:rPr>
          <w:b/>
        </w:rPr>
        <w:t xml:space="preserve">6. </w:t>
      </w:r>
      <w:r>
        <w:t>Check SM59/OAuth/TLS where applicable.</w:t>
      </w:r>
    </w:p>
    <w:p>
      <w:pPr>
        <w:ind w:left="317" w:hanging="317"/>
      </w:pPr>
      <w:r>
        <w:rPr>
          <w:b/>
        </w:rPr>
        <w:t xml:space="preserve">7. </w:t>
      </w:r>
      <w:r>
        <w:t>Check exact broker topic and subscription.</w:t>
      </w:r>
    </w:p>
    <w:p>
      <w:pPr>
        <w:ind w:left="317" w:hanging="317"/>
      </w:pPr>
      <w:r>
        <w:rPr>
          <w:b/>
        </w:rPr>
        <w:t xml:space="preserve">8. </w:t>
      </w:r>
      <w:r>
        <w:t>Check queued/unacknowledged/redelivered counts.</w:t>
      </w:r>
    </w:p>
    <w:p>
      <w:pPr>
        <w:ind w:left="317" w:hanging="317"/>
      </w:pPr>
      <w:r>
        <w:rPr>
          <w:b/>
        </w:rPr>
        <w:t xml:space="preserve">9. </w:t>
      </w:r>
      <w:r>
        <w:t>Check CPI message monitor.</w:t>
      </w:r>
    </w:p>
    <w:p>
      <w:pPr>
        <w:ind w:left="317" w:hanging="317"/>
      </w:pPr>
      <w:r>
        <w:rPr>
          <w:b/>
        </w:rPr>
        <w:t xml:space="preserve">10. </w:t>
      </w:r>
      <w:r>
        <w:t>Check target logs and business result.</w:t>
      </w:r>
    </w:p>
    <w:p>
      <w:pPr>
        <w:ind w:left="317" w:hanging="317"/>
      </w:pPr>
      <w:r>
        <w:rPr>
          <w:b/>
        </w:rPr>
        <w:t xml:space="preserve">11. </w:t>
      </w:r>
      <w:r>
        <w:t>Correct configuration or code in the owning layer.</w:t>
      </w:r>
    </w:p>
    <w:p>
      <w:pPr>
        <w:ind w:left="317" w:hanging="317"/>
      </w:pPr>
      <w:r>
        <w:rPr>
          <w:b/>
        </w:rPr>
        <w:t xml:space="preserve">12. </w:t>
      </w:r>
      <w:r>
        <w:t>Replay only after confirming idempotency.</w:t>
      </w:r>
    </w:p>
    <w:p>
      <w:pPr>
        <w:ind w:left="317" w:hanging="317"/>
      </w:pPr>
      <w:r>
        <w:rPr>
          <w:b/>
        </w:rPr>
        <w:t xml:space="preserve">13. </w:t>
      </w:r>
      <w:r>
        <w:t>Attach screenshots/log IDs—not credentials—to the incident.</w:t>
      </w:r>
    </w:p>
    <w:p>
      <w:pPr>
        <w:pStyle w:val="Heading1"/>
      </w:pPr>
      <w:r>
        <w:t>13. Interview Questions 1–100: Rapid Revision</w:t>
      </w:r>
    </w:p>
    <w:p>
      <w:r>
        <w:rPr>
          <w:b/>
        </w:rPr>
        <w:t xml:space="preserve">1–10: </w:t>
      </w:r>
      <w:r>
        <w:t>Event? Fact. Producer? Sender. Consumer? Processor. Broker? Router. Topic? Address. Queue? Buffer. Subscription? Routing rule. ACK? Confirmation. Payload? Event data. Async? Sender continues.</w:t>
      </w:r>
    </w:p>
    <w:p>
      <w:r>
        <w:rPr>
          <w:b/>
        </w:rPr>
        <w:t xml:space="preserve">11–20: </w:t>
      </w:r>
      <w:r>
        <w:t>Loose coupling? Producer does not know consumers. Eventual consistency? Targets update later. Idempotency? Duplicate-safe outcome. Redelivery? Message sent again. Correlation ID? End-to-end trace key. Schema? Payload contract. Version? Contract generation. CloudEvent? Standard metadata envelope. Command? Requested action. Message? Transport envelope.</w:t>
      </w:r>
    </w:p>
    <w:p>
      <w:r>
        <w:rPr>
          <w:b/>
        </w:rPr>
        <w:t xml:space="preserve">21–30: </w:t>
      </w:r>
      <w:r>
        <w:t>Why ABAP learns Event Mesh? To produce/support SAP events. Standard event? SAP-delivered event. Custom event? Customer-defined state change. RAP event keyword? event. Raise statement? RAISE ENTITY EVENT. Recommended phase? Late save. Managed BO recommendation? Additional save. Parameter type? CDS abstract entity. Event Binding? External event mapping. Remote release? C2.</w:t>
      </w:r>
    </w:p>
    <w:p>
      <w:r>
        <w:rPr>
          <w:b/>
        </w:rPr>
        <w:t xml:space="preserve">31–40: </w:t>
      </w:r>
      <w:r>
        <w:t>Local consumer base class? CL_ABAP_BEHAVIOR_EVENT_HANDLER. Handler syntax? FOR ENTITY EVENT. Remote consumer artifact? Event Consumption Model. Input specification? AsyncAPI JSON. Developer role documented for ECM? SAP_IWXBE_DT_XBE_DEVELOPER. Regeneratable class? Base consumer class. Custom logic class? Consumer extension class. Local Event Mesh needed? No. Remote Event Mesh needed? Yes. Local processing style? Asynchronous.</w:t>
      </w:r>
    </w:p>
    <w:p>
      <w:r>
        <w:rPr>
          <w:b/>
        </w:rPr>
        <w:t xml:space="preserve">41–50: </w:t>
      </w:r>
      <w:r>
        <w:t>EEE? S/4 event-exchange framework. Channel? Connection to broker instance. Channel transaction? /IWXBE/CONFIG. Outbound binding transaction? /IWXBE/OUTBOUND_CFG. Destination? SM59. Certificate store? STRUST. Public Cloud configuration? Communication apps/arrangements. Event monitor? Enterprise Event Enablement – Event Monitor. Standard-event catalog? Business Accelerator Hub. Queue subscription purpose? Retain matching events.</w:t>
      </w:r>
    </w:p>
    <w:p>
      <w:r>
        <w:rPr>
          <w:b/>
        </w:rPr>
        <w:t xml:space="preserve">51–60: </w:t>
      </w:r>
      <w:r>
        <w:t>Event Mesh vs CPI? Broker versus transformation/orchestration. AMQP sender in CPI? Consumes into iFlow. AMQP receiver? Publishes from iFlow. Offline consumer? Queue retains within limits. Two consumers need copies? Two queues. Topic mismatch? Queue remains empty. Backlog? Waiting messages. Unacknowledged? Delivered, not confirmed. Poison message? Repeatedly failing message. DMQ? Failed-message holding path when configured.</w:t>
      </w:r>
    </w:p>
    <w:p>
      <w:r>
        <w:rPr>
          <w:b/>
        </w:rPr>
        <w:t xml:space="preserve">61–70: </w:t>
      </w:r>
      <w:r>
        <w:t>Source committed but no event? Check availability, trigger and binding. Event failed in S/4? Inspect status/payload/connectivity. Acknowledged in S/4 but no queue message? Check topic subscription. Message in queue? Consumer issue. Queue consumed but target absent? CPI/target issue. 401? OAuth problem. SSL error? Trust/hostname/certificate. DEV works, PROD fails? Compare configuration. Duplicate? Idempotency. Ordering? Do not assume; design deliberately.</w:t>
      </w:r>
    </w:p>
    <w:p>
      <w:r>
        <w:rPr>
          <w:b/>
        </w:rPr>
        <w:t xml:space="preserve">71–80: </w:t>
      </w:r>
      <w:r>
        <w:t>Sales Order standard created event? Verified for documented release. PO created? Verified. BP changed? Verified. Delivery created? Verified. Material created? Verify release; do not guess. Generic inventory changed? Not verified. Event ID use? Trace/deduplication. Business key use? Find source object. Retry timing? Use controlled backoff. Replay condition? Root cause fixed plus idempotency confirmed.</w:t>
      </w:r>
    </w:p>
    <w:p>
      <w:r>
        <w:rPr>
          <w:b/>
        </w:rPr>
        <w:t xml:space="preserve">81–90: </w:t>
      </w:r>
      <w:r>
        <w:t>ST22 use? ABAP dumps. SLG1 use? Application logs if written. SM21? System log. SRT_MONI? SOAP, not Event Mesh itself. SWE2? Workflow linkage, not RAP Event Binding. External breakpoint? Remote/asynchronous debug. Commit warning? Event should represent durable state. Secret handling? Never hard-code. Least privilege? Minimum permissions. Payload security? Send only required data.</w:t>
      </w:r>
    </w:p>
    <w:p>
      <w:r>
        <w:rPr>
          <w:b/>
        </w:rPr>
        <w:t xml:space="preserve">91–100: </w:t>
      </w:r>
      <w:r>
        <w:t>ABAP’s main ownership? Source event and business processing. BTP admin ownership? Instance, roles, credentials. CPI developer ownership? Consumer iFlow and mapping. Functional ownership? Business trigger/result. First incident artifact? Business key and timestamp. Best trace artifact? Correlation/CloudEvent ID. Best duplicate key? Stable event ID plus business context. Breaking payload change? New version. First design question? What business fact happened? Best interview summary? ABAP creates or consumes supported business events; Event Mesh transports and buffers them.</w:t>
      </w:r>
    </w:p>
    <w:p>
      <w:pPr>
        <w:pStyle w:val="Heading1"/>
      </w:pPr>
      <w:r>
        <w:t>14. Quick Cheat Sheet</w:t>
      </w:r>
    </w:p>
    <w:p>
      <w:pPr>
        <w:pStyle w:val="CodeBlock"/>
        <w:shd w:fill="F2F5F7"/>
      </w:pPr>
      <w:r>
        <w:t>Source check      : Business object committed?</w:t>
        <w:br/>
        <w:t>RAP declaration   : event EventName [parameter AbstractEntity]</w:t>
        <w:br/>
        <w:t>RAP raising       : RAISE ENTITY EVENT</w:t>
        <w:br/>
        <w:t>Recommended place : save/save_modified, late save</w:t>
        <w:br/>
        <w:t>Remote publishing : Event Binding</w:t>
        <w:br/>
        <w:t>Remote consumption: Event Consumption Model</w:t>
        <w:br/>
        <w:t>Channel           : /IWXBE/CONFIG</w:t>
        <w:br/>
        <w:t>Outbound topics   : /IWXBE/OUTBOUND_CFG</w:t>
        <w:br/>
        <w:t>Connectivity      : SM59 + OAuth + STRUST</w:t>
        <w:br/>
        <w:t>Source monitoring : Enterprise Event Enablement – Event Monitor</w:t>
        <w:br/>
        <w:t>Broker monitoring : Queue, depth, ACK, correlation ID, redelivery</w:t>
        <w:br/>
        <w:t>Golden rule       : Never replay without idempotency</w:t>
      </w:r>
    </w:p>
    <w:p>
      <w:pPr>
        <w:pStyle w:val="Heading2"/>
      </w:pPr>
      <w:r>
        <w:t>Final ABAP-developer mental model</w:t>
      </w:r>
    </w:p>
    <w:p>
      <w:pPr>
        <w:pStyle w:val="CodeBlock"/>
        <w:shd w:fill="F2F5F7"/>
      </w:pPr>
      <w:r>
        <w:t>ABAP owns the truth.</w:t>
        <w:br/>
        <w:t>RAP/EEE announces the truth.</w:t>
        <w:br/>
        <w:t>Event Mesh transports the truth.</w:t>
        <w:br/>
        <w:t>CPI may transform the message.</w:t>
        <w:br/>
        <w:t>The consumer acts on the truth.</w:t>
        <w:br/>
        <w:t>Monitoring proves where the chain stopped.</w:t>
      </w:r>
    </w:p>
    <w:p>
      <w:pPr>
        <w:pStyle w:val="Heading1"/>
      </w:pPr>
      <w:r>
        <w:t>Reference Notes</w:t>
      </w:r>
    </w:p>
    <w:p>
      <w:r>
        <w:t>Product-specific behavior must be checked against current, release-specific SAP Help Portal documentation, SAP Business Accelerator Hub, SAP Learning, and the services and plans visible in the organization’s SAP BTP account. The technical guidance in this document deliberately marks release-dependent examples and discourages direct manipulation of SAP standard tables or hard-coded credentials.</w:t>
      </w:r>
    </w:p>
    <w:sectPr w:rsidRPr="0006063C" w:rsidR="00FC693F" w:rsidSect="00034616">
      <w:headerReference w:type="default" r:id="rId9"/>
      <w:footerReference w:type="default" r:id="rId10"/>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8"/>
        <w:sz w:val="16"/>
      </w:rPr>
      <w:t>SAP Event Mesh Practical Guide for ABAP Developers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B3768"/>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87E8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D45A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0B376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ind w:left="288" w:right="288"/>
    </w:pPr>
    <w:rPr>
      <w:rFonts w:ascii="Consolas" w:hAnsi="Consolas"/>
      <w:color w:val="202D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ffa499d-8334-4b45-bbba-5ec17299202b}" enabled="1" method="Standar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Event Mesh Practical Guide for ABAP Developers</dc:title>
  <dc:subject>ABAP, RAP Business Events, Enterprise Event Enablement, Event Mesh</dc:subject>
  <dc:creator>Microsoft Copilot</dc:creator>
  <cp:keywords>SAP, ABAP, Event Mesh, RAP, BTP, S/4HANA</cp:keywords>
  <dc:description>generated by python-docx</dc:description>
  <cp:lastModifiedBy/>
  <cp:revision>1</cp:revision>
  <dcterms:created xsi:type="dcterms:W3CDTF">2013-12-23T23:15:00Z</dcterms:created>
  <dcterms:modified xsi:type="dcterms:W3CDTF">2013-12-23T23:15:00Z</dcterms:modified>
  <cp:category/>
</cp:coreProperties>
</file>