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D3 Manuscript Figure Plan and Reproducibility Guide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Companion to the manuscript draft v1. All figures are produced by manuscript_figures/build_all_figures.py (also run by D3_Manuscript_Figure_Generation.ipynb) from saved outputs only; Exp0/Exp1 never appear. Numbering is identical in the manuscript, the captions (manuscript_figures/captions.json) and the generated files. OJEMB limit as read from the journal page snippets (to be re-checked): at most 8 display items in the main text; the manuscript uses 6 figures and 2 tables.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Final summary table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300"/>
        <w:gridCol w:w="3200"/>
        <w:gridCol w:w="2300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Figure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Main / supplement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Existing or new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Source data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(drawn from the configuration: configs/source_graphs.yaml, gnn.ya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build_all_figures.py::fig_pipeline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 - visual QA by authors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src/adgraph/models/xu_dual.py, configs/final/amendments/exp8a_xu_dual_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build_all_figures.py::fig_architecture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 - visual QA by authors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src/adgraph/source/atlas_tables.json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build_all_figures.py::fig_atlas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 - surface rendering optional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development_results_all.csv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build_all_figures.py::fig_landscape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&lt;processed&gt;/FINAL_v1/&lt;rel_dir&gt;/predictions_participants.csv (rel_dir i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build_all_figures.py::fig_roc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 - layout polish possible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comparisons.csv (GNN-only subsets)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build_all_figures.py::fig_ablation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 - author to decide whether to re-correct GNN-only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S1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Supplement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selection_check.json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build_all_figures.py::fig_selection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S2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Supplement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single_model_holdout predictions_participants.csv (13 participants)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build_all_figures.py::fig_holdout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S3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Supplement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development_results_all.csv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build_all_figures.py::fig_graph_sparsity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S4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Supplement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development_results_all.csv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build_all_figures.py::fig_exp6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Fig. S5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Supplement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New (generated)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development_results_all.csv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build_all_figures.py::fig_landscape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Draft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Existing figures that are not reused unchanged: fig1_primary_forest, fig2_family_summary, fig3_lcmv_vs_wmne, fig4_modeB_vs_modeA, fig6_selection_bias (all contain Exp0/Exp1 data or a mismatched estimator; see D3_Existing_Figures_Audit.md). fig5_ablations and fig7_plv_vs_ciplv remain acceptable supplementary figures.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1. End-to-end source-space graph-learning pipeline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What processing chain turns recordings into participant-level predictions?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 / Intro (also Visual Summary basis)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 (drawn)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none (drawn from the configuration: configs/source_graphs.yaml, gnn.yaml)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fig01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manuscript_figures/generated/fig01_pipeline.pdf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1. End-to-end source-space EEG graph-learning pipeline. Resting-state eyes-closed EEG (OpenNeuro ds004504; 19 electrodes; 36 AD, 29 HC) is segmented at provider boundary events, resampled to 250 Hz and average-referenced; five minutes per participant are cut into 10 s windows with a 1 s step (mode B; mode A uses the first 10 accepted windows). Sources are reconstructed with LCMV or depth-weighted wMNE into 68 Desikan-Killiany ROI signals and aggregated to coarser atlases (r18, lobes12). Per window and band, PLV (or |ciPLV|), PSD and differential entropy define weighted band graphs on which a graph network is trained for 60 epochs; window probabilities are averaged per participant and evaluated by five-fold participant-grouped cross-validation on the 52 development participants.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Shows the sequence and that LCMV/wMNE differ only in step 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Schematic; does not depict results.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 - visual QA by authors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fig01_pipeline.png" descr="fig01_pipeline.png" title="fig01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2. Exp8a dual-layer GCN architecture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What exactly is the primary network?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V.F Methods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 (drawn; shapes verified against src/adgraph/models/xu_dual.py; 5,771 parameters counted by instantiation)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src/adgraph/models/xu_dual.py, configs/final/amendments/exp8a_xu_dual_gcn_surface.yaml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fig02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manuscript_figures/generated/fig02_exp8a_architecture.pdf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2. Architecture of the primary model (exp8a_xu_dual_gcn_surface, variant plv__psd). For each of five bands, a band-specific graph convolution propagates [log PSD, relative PSD] node features over the window's own PLV graph (layer 1, 2 -&gt; 32), then over a fixed 12 x 12 cortical-surface-contiguity matrix (layer 2, 32 -&gt; 2). Band outputs (5 x 12 x 2 = 120) are flattened, passed through dropout (0.3) and two fully connected layers (32, 32) to one logit. N(A) = D^(-1/2)(A + I)D^(-1/2). The anatomical matrix is an atlas-derived neighbourhood prior, not structural (white-matter) connectivity. 5,771 trainable parameters.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Makes the anatomical layer explicit: fixed 12 x 12 matrix, 22 edges.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Anatomical matrix is not structural connectivity.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 - visual QA by authors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fig02_exp8a_architecture.png" descr="fig02_exp8a_architecture.png" title="fig02_exp8a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3. Atlas resolution and classification by atlas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What spatial resolution does a 19-electrode montage support, and does classification depend on it?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II.A, II.C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 (atlas tables + saved resolution table + results CSV)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src/adgraph/source/atlas_tables.json; resolution_by_atlas.csv; development_results_all.csv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fig03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manuscript_figures/generated/fig03_atlas_resolution.pdf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3. Atlas resolution under a 19-electrode montage. (a-c) Region centroids (fsaverage white surface, axial projection) of dk68, r18 and lobes12, coloured by lobe; lines in (c) are the 22 surface-contiguity edges of the anatomical layer. (d-f) Exact-BEM resolution analysis for LCMV and wMNE: median cross-talk (rule &lt;= 0.60), own-region dominance (rule &gt;= 0.80) and participation ratio; the leadfield has numerical rank 18 and entropy-effective rank 12.8. Only lobes12 meets both criteria for both inverses (r18 misses dominance for LCMV, 0.778). dk34_gyral is analysed only (not classified). (g, h) Participant-level development-CV AUC and balanced accuracy of the same matched models (Exp4 band-mean GCN, Exp5 separate-encoder multiband GCN; LCMV and wMNE; PLV; mode B; dense graph; n = 52) on dk68, lobes12 and r18; no difference is statistically supported, and lobes12 was recorded as the analysis atlas.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Only lobes12 meets the rule; AUC/BA by atlas show no consistent ordering across inverses.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Centroid map, not a cortical-surface rendering (surface rendering code provided but not executed); dk34 analytic only; r18 and dk68 classifier rows are exploratory.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 - surface rendering optional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fig03_atlas_resolution.png" descr="fig03_atlas_resolution.png" title="fig03_atlas_re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4. GNN family performance and single-band heatmap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How much do families and frequency bands differ?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II.D, II.E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 (replaces existing fig2_family_summary, which contained Exp0/Exp1)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development_results_all.csv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fig04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manuscript_figures/generated/fig04_family_and_band_performance.pdf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4. Performance of the GNN families and of single frequency bands. (a) Participant-level development-CV ROC-AUC (n = 52) of every configuration in Exp2-Exp8a, window mode B; dots are configurations, bars are medians. The spread reflects differences between configurations and is not a confidence interval. (b) Exp3 single-band GCN (lobes12, dense): observed AUC for each band, inverse solution and connectivity measure. No band difference was tested with correction.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Exp2 at chance; Exp4-Exp8a overlap; theta strongest single band.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Spread across configurations is not a CI; no corrected band test.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fig04_family_and_band_performance.png" descr="fig04_family_and_band_performance.png" title="fig04_family_and_band_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5. Participant-level ROC and confusion matrices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How do the primary model, Exp5 r18 and the Exp4 reference behave at participant level?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II.B, II.C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 from saved participant-level out-of-fold predictions (three units)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&lt;processed&gt;/FINAL_v1/&lt;rel_dir&gt;/predictions_participants.csv (rel_dir in development_results_all.csv): A2/.../exp8a.../plv__psd/xu_dev_cv; release/.../r18/dense/exp5_multibranch/plv__separate__mean/xu_dev_cv; release/.../lobes12/dense/exp4_band_mean/plv__psd/xu_dev_cv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fig05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manuscript_figures/generated/fig05_roc_confusion.pdf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5. Participant-level out-of-fold ROC curves and confusion matrices (threshold 0.5) for the primary model (Exp8a, LCMV, PLV + PSD, lobes12), the Exp5 separate-encoder multiband GCN on r18 and the Exp4 band-mean GCN reference on lobes12 (all LCMV, mode B, dense; one score per participant, n = 52: 29 AD, 23 HC). AUC 0.858 (DeLong 95% CI 0.749-0.966), 0.859 (0.743-0.975) and 0.844 (0.725-0.963). Paired DeLong tests recomputed from the saved predictions (uncorrected, descriptive) show no difference (primary vs Exp5 r18: dAUC -0.001, p = 0.96; primary vs Exp4: +0.013, p = 0.63). Development cross-validation, not independent test performance; the model was emphasised retrospectively.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Primary vs Exp5 r18: dAUC -0.001, p 0.96; vs Exp4: +0.013, p 0.63 (recomputed, uncorrected).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Development CV; model emphasised retrospectively; ROC panel is small because of equal aspect.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 - layout polish possible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fig05_roc_confusion.png" descr="fig05_roc_confusion.png" title="fig05_roc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6. Ablations and matched robustness comparisons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 ablations or robustness factors produce supported differences?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II.D, II.E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 (replaces fig3/fig4/fig5/fig7 for the main text)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comparisons.csv (GNN-only subsets)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fig06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manuscript_figures/generated/fig06_ablation_and_robustness.pdf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6. Ablations and robustness. (a) Exp8a: AUC of the full model (PLV, PSD + DE + strength) minus each ablation or alternative, per inverse; bars are paired participant-bootstrap 95% intervals (uncorrected); Holm-adjusted p-values are those saved for the comparison family. No ablation is supported. (b) Matched pairs differing in one factor (GNN configurations only): PLV vs |ciPLV| (n = 46), LCMV vs wMNE (n = 116), window mode B vs A (n = 116); each dot is one pair, bars are medians, the pink dot is the single pair supported after Holm correction (Exp7, LCMV, |ciPLV| mean fusion; mode B &gt; 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ablation supported; one mode pair supported.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Holm p-values are those saved for the full families, which included classical pairs for LCMV-vs-wMNE and mode comparisons.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 - author to decide whether to re-correct GNN-only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fig06_ablation_and_robustness.png" descr="fig06_ablation_and_robustness.png" title="fig06_ablation_and_robustn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S1. Selection optimism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How optimistic are best-of-many AUCs?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II.F (supplement)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selection_check.json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figS_selection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manuscript_figures/generated/figS_selection_optimism.pdf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S1. Selection optimism. For each candidate set, the observed best AUC (n = 52), the mean bootstrap out-of-bag winner AUC, observed minus the bootstrap optimism, and the 95th percentile of the best-of-m AUC under permuted labels. Participants were resampled with replacement; the winner was chosen in-bag and scored on out-of-bag participants. This is a within-development estimate, not an independent test.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Optimism +0.03 to +0.08; null 95th percentile about 0.67-0.73.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OOB estimate is a within-development resampling, not an independent test.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2466975"/>
            <wp:effectExtent t="0" r="0" b="0" l="0"/>
            <wp:docPr id="1" name="figS_selection_optimism.png" descr="figS_selection_optimism.png" title="figS_selection_optimi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S2. Descriptive single-model holdout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What happened for the one holdout-evaluated model?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II.F (supplement)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 from saved holdout predictions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single_model_holdout predictions_participants.csv (13 participants)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figS_holdout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manuscript_figures/generated/figS_holdout_descriptive.pdf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S2. Descriptive holdout of the single selected model (wMNE, Exp8a plv__psd_de_strength__abl_anatomical_both, lobes12, dense): 13 participants (7 AD, 6 HC), fitted once on the 52 development participants. The holdout had been inspected in earlier work and is not an untouched test; it is not the LCMV plv__psd primary model.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AUC 0.786 (DeLong 0.522-1.000), sensitivity 0.429.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Previously inspected holdout; wMNE model, not the primary model.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figS_holdout_descriptive.png" descr="figS_holdout_descriptive.png" title="figS_holdout_descrip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S3. Graph construction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Does sparsification help?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II.E (supplement)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development_results_all.csv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figS_graph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manuscript_figures/generated/figS_graph_construction.pdf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S3. Graph construction on lobes12 (mode B, n = 52): participant-level AUC of eleven constructions for the Exp4 band-mean GCN and the Exp5 separate-encoder GCN. The pre-specified rule kept the dense graph; the feature-similarity graph is reported only.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Dense kept by rule.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reference models only.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2943225"/>
            <wp:effectExtent t="0" r="0" b="0" l="0"/>
            <wp:docPr id="1" name="figS_graph_construction.png" descr="figS_graph_construction.png" title="figS_graph_constr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S4. Exp6 ablations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Which inputs matter?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II.D (supplement)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development_results_all.csv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figS_exp6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manuscript_figures/generated/figS_exp6_ablations.pdf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S4. Exp6 feature, fusion and band ablations (mode B): participant-level AUC with DeLong 95% intervals (n = 52).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no_psd lowest.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 run per variant.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3162300"/>
            <wp:effectExtent t="0" r="0" b="0" l="0"/>
            <wp:docPr id="1" name="figS_exp6_ablations.png" descr="figS_exp6_ablations.png" title="figS_exp6_abl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Fig. S5. Exp3 balanced-accuracy heatmap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Scientific question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as Fig. 4b in balanced accuracy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 section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II.D (supplement)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development_results_all.csv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Plotting code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manuscript_figures/build_all_figures.py, figure id figS_bands (notebook cell 5 calls the same function)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files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manuscript_figures/generated/figS_exp3_band_heatmap_balanced_accuracy.pdf / .svg / .png (600 dpi)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Fig. S5. Exp3 single-band GCN, balanced accuracy at threshold 0.5 (lobes12, dense, mode B).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Interpretation for Results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Consistent with AUC heatmap.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Limitations / caveats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Threshold 0.5.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Publication-readiness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Draft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5334000" cy="3848100"/>
            <wp:effectExtent t="0" r="0" b="0" l="0"/>
            <wp:docPr id="1" name="figS_exp3_band_heatmap_balanced_accuracy.png" descr="figS_exp3_band_heatmap_balanced_accuracy.png" title="figS_exp3_band_heatmap_balanced_accura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</w:rPr>
        <w:t xml:space="preserve">Reproducing the figures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Open D3_Manuscript_Figure_Generation.ipynb in Colab and run all cells (mounts Drive, validates inputs, builds all figures, writes figure_manifest.csv and source_inventory.csv with SHA-256 of every input).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Or: python manuscript_figures/build_all_figures.py --processed /content/drive/MyDrive/AD-LEB/processed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Missing inputs raise MissingInput and that figure is skipped; nothing is simulated. A prediction file whose recomputed AUC or confusion matrix differs from the saved table aborts the run.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Outputs go to a separate folder; paths inside FINAL_v1 or amendment namespaces are refused.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Build status: the offline test build used local copies of the Drive files for the three unit predictions, the holdout predictions, the results and comparison tables, selection_check.json (partial copy) and resolution_by_atlas.csv; the live Drive discovery path has not been executed.</w:t>
      </w:r>
    </w:p>
    <w:sectPr>
      <w:headerReference w:type="default" r:id="rId7"/>
      <w:footerReference w:type="default" r:id="rId8"/>
      <w:pgSz w:w="12240" w:h="15840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D3 Manuscript Figure Plan and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7aaf064b2c3493280517e1f6bfbff0aa199b0b.png"/><Relationship Id="rId10" Type="http://schemas.openxmlformats.org/officeDocument/2006/relationships/image" Target="media/572d6c0135a7b70b7adef3cf5fb7598d4bf85c3c.png"/><Relationship Id="rId11" Type="http://schemas.openxmlformats.org/officeDocument/2006/relationships/image" Target="media/1459f3b8db1af53abc88ac86417bc1ee64520efd.png"/><Relationship Id="rId12" Type="http://schemas.openxmlformats.org/officeDocument/2006/relationships/image" Target="media/2a08e13ca21cc0412236ba19eadbee01671fd15c.png"/><Relationship Id="rId13" Type="http://schemas.openxmlformats.org/officeDocument/2006/relationships/image" Target="media/41a9f601d7cc0290af6bde9fde56e2c4edd1b244.png"/><Relationship Id="rId14" Type="http://schemas.openxmlformats.org/officeDocument/2006/relationships/image" Target="media/8d322aa170243a07258ea67af50826b43845f4f4.png"/><Relationship Id="rId15" Type="http://schemas.openxmlformats.org/officeDocument/2006/relationships/image" Target="media/eaf09de0e023901b371161e827fa137d66623954.png"/><Relationship Id="rId16" Type="http://schemas.openxmlformats.org/officeDocument/2006/relationships/image" Target="media/b08eedb5b9a30f885fff7b036f26494953bf8bb5.png"/><Relationship Id="rId17" Type="http://schemas.openxmlformats.org/officeDocument/2006/relationships/image" Target="media/0467c4fd47f5af29ca1e8fe8c4f0b8e270fcb640.png"/><Relationship Id="rId18" Type="http://schemas.openxmlformats.org/officeDocument/2006/relationships/image" Target="media/6de8163431eda72504e3bc2b34e4fa6f6c4e18eb.png"/><Relationship Id="rId19" Type="http://schemas.openxmlformats.org/officeDocument/2006/relationships/image" Target="media/c2f11841a4e9d8dae59e50d2e483914efaefda1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2026-10-27T16:02:29.529Z</dcterms:created>
  <dcterms:modified xsi:type="dcterms:W3CDTF">2026-10-27T16:02:29.529Z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