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Research Integrity and Submission Checklist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Status of manuscript draft v1 and the figure package. "Verified" means checked against a saved file, code or a web search in this session; nothing was re-run.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1. What is complete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Manuscript draft v1 (≈2,930 words of main text excluding captions, tables and references; abstract 131 words), 6 figures and 2 tables in the main text.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Figure package: build_all_figures.py, Colab notebook, captions, README; 11 figure groups built offline; recomputed AUCs of the three ROC units match the saved table exactly (0.857571, 0.859070, 0.844078) and the holdout (0.7857).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Counts verified: 320 saved results = 280 GNN + 40 classical; 104 GNN units in the frozen plan; every GNN row has n = 52.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Headline numbers verified: Exp8a primary AUC 0.8576, accuracy 84.62% (44/52), BA 85.76% (the equality of BA and AUC to three decimals is numerical), sens 75.86%, spec 95.65%, TN/FP/FN/TP 22/1/7/22; Exp5 r18 AUC 0.8591, accuracy 86.54%, BA 86.58%, 20/3/4/25; holdout AUC 0.786, accuracy 61.54%, BA 63.10%, sens 42.86%, spec 83.33%.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Literature entries confirmed by web search (existence, authors, venue): refs [1]–[4], [6]–[8], [10]–[11], [13]–[19]; [12] confirmed except the author list, [5] and [9] only partially.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2. Material inconsistencies found (not silently resolved)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700"/>
        <w:gridCol w:w="2200"/>
        <w:gridCol w:w="1760"/>
      </w:tblGrid>
      <w:tr>
        <w:trPr>
          <w:cantSplit/>
          <w:tblHeader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Finding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Where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Handling in the manuscript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Action needed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The two attached source documents were not both available: the Markdown handoff (D3_EEG_GNN_Chat_Handoff…md) was neither in the session uploads nor findable on Drive; the synthesis document and one literature workbook were used. Two further workbooks named in the request were not supplied.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session inputs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Project history rebuilt from the repository, configs and Drive outputs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Re-supply the handoff for a cross-check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The saved comparison families LCMV-vs-wMNE (124 pairs) and mode B-vs-A (128 pairs) include classical Exp1 (8) and Exp0 (4) pairs, yet the synthesis and interpretation.md present them as GNN statistics. GNN-only: 116 and 116 pairs; LCMV-wMNE median +0.021 (74/42), mode median +0.039 (87/28); the single supported pair is unchanged (Exp7). Holm p-values were computed over the full families.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comparisons.csv; interpretation.md; synthesis 14.1; existing fig3, fig4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Manuscript uses the GNN-only numbers and says so; Fig. 6 shows GNN-only subsets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Decide whether to re-run the Holm correction on GNN-only families (read-only, from saved scores)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"Selection-corrected AUC" has two estimators: observed minus optimism (0.790 LCMV, 0.814 wMNE; plotted in existing fig6) and the mean bootstrap out-of-bag winner AUC (0.808, 0.822; quoted in interpretation.md). The synthesis wrote "about 0.81–0.82".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selection_check.json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Manuscript reports optimism and OOB winner AUC separately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None, wording fixed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The atlas rule can be called pre-specified and label-blind only for the resolution analysis and its recommendation. The recorded atlas decision (atlas.json, 2026-10-19T15:32:56Z) was made after the development-only atlas comparison and its stated reason includes "strong development-CV classification"; r18 was approved after the exact-BEM result (A1).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atlas.json; amendments.yaml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Discussion and Limitations state this plainly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Confirm from git history that the thresholds in configs/final/selection.yaml predate the first resolution results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The repository dataset note gives a different title for the dataset paper than the published title (Data 8(6):95).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docs/dataset_d3.md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Reference [11] uses the published title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Correct docs/dataset_d3.md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Exp6 ran on a CPU torch build (py3.13.16, torch 2.11.0+cpu), all other GNN families on CUDA (py3.13.15, cu130).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environment_summary.csv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Reported in Supplement S1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Mention in the paper if a reviewer asks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Existing consolidated figures fig1, fig2, fig3, fig4, fig6 contain classical (Exp0/Exp1) data; fig6 plots a different estimator than the text.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Drive figure folder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Replaced by regenerated GNN-only figures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Do not submit the old versions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3. Evidence the author must review (flagged, not concealed)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Classical baselines (Exp0/Exp1) are excluded from the paper by instruction. In the saved development analysis their best observed AUC (LCMV 0.897; wMNE 0.918) exceeded the best GNN (0.865; 0.873) descriptively; the selection-aware difference of the maxima had a bootstrap interval including zero, and no GNN-versus-classical comparison favoured the GNN after correction. A reviewer will ask for this comparison; the manuscript therefore claims no superiority of graph models and lists the omission as a limitation. Decide before submission whether to report the baselines.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The 13-participant holdout was inspected in earlier work and only one model (wMNE, not the primary LCMV model) was evaluated; no external validation exists. D3-to-D2 results do not exist and none are claimed.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The primary-model emphasis is retrospective; the highest-AUC model is a different configuration; Exp5 r18 reached a slightly higher accuracy. All three are disclosed in Results and Discussion.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4. Strict-reviewer pass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560"/>
      </w:tblGrid>
      <w:tr>
        <w:trPr>
          <w:cantSplit/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Area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Assessment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Residual risk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Novelty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Components (PLV, LCMV, GCN, dual-layer design) are established; novelty is the resolution-aware design and the controlled evaluation. Not claimed otherwise.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Moderate: contribution is largely methodological/evaluative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Hypothesis clarity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Stated as questions with null results reported.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Statistics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DeLong + bootstrap + Holm; optimism and permutation reported; low power acknowledged. Holm families include non-GNN pairs (item 2).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Moderate until item 2 resolved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Data leakage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Participant-grouped splits, training-only scalers and thresholds, leakage guards in code. No holdout used for selection. Window overlap handled by participant aggregation.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Low; atlas/graph decisions used development CV (disclosed)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Source reconstruction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Template head and electrodes, 19 channels, cross-talk 0.38–0.54 even for 12/18 regions.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High (intrinsic)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Anatomical layer claim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Manuscript states that ablations do not show a benefit; no sentence claims improvement.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Sample size / external validity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 = 52 development, 13 inspected holdout, single site.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High (intrinsic)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Baselines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Non-graph baselines omitted by scope (item in section 3).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High for acceptance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Figures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Regenerated from saved data; offline build only; Colab path not executed; surface rendering not executed.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Low–moderate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References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All main-text references confirmed bibliographically except flagged details (Song volume/pages, Van Veen author list, Cao journal, Ding venue).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Low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5. Before submission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Apply the official OJEMB Science template (Word/LaTeX); the template file could not be downloaded here. Limits taken from journal-page snippets and to be re-checked: about 3,000 words of main text, at most 8 display items, abstract at most 150 words (Objective / Results / Conclusions), at most 50 references, a separate Visual Summary.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Prepare the Visual Summary; convert plain-text equations to Word/LaTeX equations; complete author, affiliation, funding, ethics and data-availability statements (dataset is public CC0; derived tables only).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Run the Colab notebook against the live Drive tree and inspect every figure; optionally render the cortical-surface atlas figure.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</w:rPr>
        <w:t xml:space="preserve">Resolve items 1–5 in section 2; decide on the classical baselines; consider a prospectively specified external evaluation (a D3-to-D2 manifest exists; nothing has been run).</w:t>
      </w:r>
    </w:p>
    <w:sectPr>
      <w:headerReference w:type="default" r:id="rId7"/>
      <w:footerReference w:type="default" r:id="rId8"/>
      <w:pgSz w:w="12240" w:h="15840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Research Integrity and Submission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Calibri" w:cs="Calibri" w:eastAsia="Calibri" w:hAnsi="Calibri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2026-10-27T16:02:30.913Z</dcterms:created>
  <dcterms:modified xsi:type="dcterms:W3CDTF">2026-10-27T16:02:30.913Z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