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EAA"/>
          <w:sz w:val="56"/>
          <w:szCs w:val="56"/>
        </w:rPr>
        <w:t xml:space="preserve">Meterly</w:t>
      </w:r>
    </w:p>
    <w:p>
      <w:pPr>
        <w:spacing w:after="300"/>
      </w:pPr>
      <w:r>
        <w:rPr>
          <w:color w:val="555555"/>
          <w:sz w:val="24"/>
          <w:szCs w:val="24"/>
        </w:rPr>
        <w:t xml:space="preserve">Subscription &amp; Usage-Based Billing Platform — Functional Requirements &amp; Microservices Overview</w:t>
      </w:r>
    </w:p>
    <w:p>
      <w:pPr>
        <w:spacing w:after="400"/>
      </w:pPr>
      <w:r>
        <w:rPr>
          <w:i/>
          <w:iCs/>
          <w:color w:val="888888"/>
          <w:sz w:val="20"/>
          <w:szCs w:val="20"/>
        </w:rPr>
        <w:t xml:space="preserve">Portfolio project · Microservices architecture · Last updated: September 2026</w:t>
      </w:r>
    </w:p>
    <w:p>
      <w:pPr>
        <w:pStyle w:val="Heading1"/>
        <w:spacing w:after="160" w:before="320"/>
      </w:pPr>
      <w:r>
        <w:t xml:space="preserve">Problem</w:t>
      </w:r>
    </w:p>
    <w:p>
      <w:pPr>
        <w:spacing w:after="120"/>
      </w:pPr>
      <w:r>
        <w:t xml:space="preserve">Design a subscription and usage-metered billing platform for a SaaS provider that needs to manage customer subscriptions, meter usage against those subscriptions, determine in real time what a customer is entitled to do, and generate accurate invoices — even as plans change over time.</w:t>
      </w:r>
    </w:p>
    <w:p>
      <w:pPr>
        <w:spacing w:after="120"/>
      </w:pPr>
      <w:r>
        <w:t xml:space="preserve">Example: a customer on a “Pro” plan upgrades mid-cycle to “Enterprise.” The resulting invoice must still correctly bill usage against Pro pricing for the days before the upgrade and Enterprise pricing after.</w:t>
      </w:r>
    </w:p>
    <w:p>
      <w:pPr>
        <w:spacing w:after="120"/>
      </w:pPr>
      <w:r>
        <w:t xml:space="preserve">The objective is to build a distributed system that performs the functions described below.</w:t>
      </w:r>
    </w:p>
    <w:p>
      <w:pPr>
        <w:pStyle w:val="Heading1"/>
        <w:spacing w:after="160" w:before="320"/>
      </w:pPr>
      <w:r>
        <w:t xml:space="preserve">Functional Requirements</w:t>
      </w:r>
    </w:p>
    <w:p>
      <w:pPr>
        <w:pStyle w:val="ListParagraph"/>
        <w:numPr>
          <w:ilvl w:val="0"/>
          <w:numId w:val="2"/>
        </w:numPr>
        <w:spacing w:after="60"/>
      </w:pPr>
      <w:r>
        <w:t xml:space="preserve">Staff/admin users can create, read, and update plans — each plan defines pricing rules and what a subscriber is entitled to.</w:t>
      </w:r>
    </w:p>
    <w:p>
      <w:pPr>
        <w:pStyle w:val="ListParagraph"/>
        <w:numPr>
          <w:ilvl w:val="0"/>
          <w:numId w:val="2"/>
        </w:numPr>
        <w:spacing w:after="60"/>
      </w:pPr>
      <w:r>
        <w:t xml:space="preserve">The system must never mutate an existing plan version — any change to a plan produces a new immutable version, so historical billing always reflects the plan terms active at the time.</w:t>
      </w:r>
    </w:p>
    <w:p>
      <w:pPr>
        <w:pStyle w:val="ListParagraph"/>
        <w:numPr>
          <w:ilvl w:val="0"/>
          <w:numId w:val="2"/>
        </w:numPr>
        <w:spacing w:after="60"/>
      </w:pPr>
      <w:r>
        <w:t xml:space="preserve">Customers can be subscribed to a plan, and that subscription is always tied to a specific plan version.</w:t>
      </w:r>
    </w:p>
    <w:p>
      <w:pPr>
        <w:pStyle w:val="ListParagraph"/>
        <w:numPr>
          <w:ilvl w:val="0"/>
          <w:numId w:val="2"/>
        </w:numPr>
        <w:spacing w:after="60"/>
      </w:pPr>
      <w:r>
        <w:t xml:space="preserve">Customers can upgrade or downgrade their subscription; the system must determine which plan version applies before and after the change, for correct billing.</w:t>
      </w:r>
    </w:p>
    <w:p>
      <w:pPr>
        <w:pStyle w:val="ListParagraph"/>
        <w:numPr>
          <w:ilvl w:val="0"/>
          <w:numId w:val="2"/>
        </w:numPr>
        <w:spacing w:after="60"/>
      </w:pPr>
      <w:r>
        <w:t xml:space="preserve">Customers can cancel or reactivate a subscription.</w:t>
      </w:r>
    </w:p>
    <w:p>
      <w:pPr>
        <w:pStyle w:val="ListParagraph"/>
        <w:numPr>
          <w:ilvl w:val="0"/>
          <w:numId w:val="2"/>
        </w:numPr>
        <w:spacing w:after="60"/>
      </w:pPr>
      <w:r>
        <w:t xml:space="preserve">The system must ingest usage events for a customer (e.g. API calls, storage consumed, seats used) at high volume.</w:t>
      </w:r>
    </w:p>
    <w:p>
      <w:pPr>
        <w:pStyle w:val="ListParagraph"/>
        <w:numPr>
          <w:ilvl w:val="0"/>
          <w:numId w:val="2"/>
        </w:numPr>
        <w:spacing w:after="60"/>
      </w:pPr>
      <w:r>
        <w:t xml:space="preserve">Usage events must be idempotent — a duplicate or retried event must not be double-counted.</w:t>
      </w:r>
    </w:p>
    <w:p>
      <w:pPr>
        <w:pStyle w:val="ListParagraph"/>
        <w:numPr>
          <w:ilvl w:val="0"/>
          <w:numId w:val="2"/>
        </w:numPr>
        <w:spacing w:after="60"/>
      </w:pPr>
      <w:r>
        <w:t xml:space="preserve">The system must rate usage — convert raw usage records into billable amounts based on the pricing rules of the plan version active when the usage occurred.</w:t>
      </w:r>
    </w:p>
    <w:p>
      <w:pPr>
        <w:pStyle w:val="ListParagraph"/>
        <w:numPr>
          <w:ilvl w:val="0"/>
          <w:numId w:val="2"/>
        </w:numPr>
        <w:spacing w:after="60"/>
      </w:pPr>
      <w:r>
        <w:t xml:space="preserve">The system must answer, in real time and with low latency, whether a given customer is currently entitled to perform an action (e.g. “can this customer make another API call,” “has this customer hit their seat limit”).</w:t>
      </w:r>
    </w:p>
    <w:p>
      <w:pPr>
        <w:pStyle w:val="ListParagraph"/>
        <w:numPr>
          <w:ilvl w:val="0"/>
          <w:numId w:val="2"/>
        </w:numPr>
        <w:spacing w:after="60"/>
      </w:pPr>
      <w:r>
        <w:t xml:space="preserve">Entitlement checks must reflect subscription and usage state but are served from a fast derived cache, not computed live against the source-of-truth database on every check.</w:t>
      </w:r>
    </w:p>
    <w:p>
      <w:pPr>
        <w:pStyle w:val="ListParagraph"/>
        <w:numPr>
          <w:ilvl w:val="0"/>
          <w:numId w:val="2"/>
        </w:numPr>
        <w:spacing w:after="60"/>
      </w:pPr>
      <w:r>
        <w:t xml:space="preserve">The entitlement cache must be kept in sync with subscription and usage state changes as they happen, and must be rebuildable from source data if it becomes stale or is lost.</w:t>
      </w:r>
    </w:p>
    <w:p>
      <w:pPr>
        <w:pStyle w:val="ListParagraph"/>
        <w:numPr>
          <w:ilvl w:val="0"/>
          <w:numId w:val="2"/>
        </w:numPr>
        <w:spacing w:after="60"/>
      </w:pPr>
      <w:r>
        <w:t xml:space="preserve">The system must generate invoices for a customer for a billing period, made up of rated usage line items.</w:t>
      </w:r>
    </w:p>
    <w:p>
      <w:pPr>
        <w:pStyle w:val="ListParagraph"/>
        <w:numPr>
          <w:ilvl w:val="0"/>
          <w:numId w:val="2"/>
        </w:numPr>
        <w:spacing w:after="60"/>
      </w:pPr>
      <w:r>
        <w:t xml:space="preserve">An invoice must reflect the exact plan version(s) active during the billing period it covers, even if the customer has since moved to a different plan.</w:t>
      </w:r>
    </w:p>
    <w:p>
      <w:pPr>
        <w:pStyle w:val="ListParagraph"/>
        <w:numPr>
          <w:ilvl w:val="0"/>
          <w:numId w:val="2"/>
        </w:numPr>
        <w:spacing w:after="60"/>
      </w:pPr>
      <w:r>
        <w:t xml:space="preserve">Invoices must move through defined states: draft → finalized → paid → overdue.</w:t>
      </w:r>
    </w:p>
    <w:p>
      <w:pPr>
        <w:pStyle w:val="ListParagraph"/>
        <w:numPr>
          <w:ilvl w:val="0"/>
          <w:numId w:val="2"/>
        </w:numPr>
        <w:spacing w:after="60"/>
      </w:pPr>
      <w:r>
        <w:t xml:space="preserve">The system must collect payment against a finalized invoice and handle failed payment attempts (e.g. retry, mark overdue).</w:t>
      </w:r>
    </w:p>
    <w:p>
      <w:pPr>
        <w:pStyle w:val="ListParagraph"/>
        <w:numPr>
          <w:ilvl w:val="0"/>
          <w:numId w:val="2"/>
        </w:numPr>
        <w:spacing w:after="60"/>
      </w:pPr>
      <w:r>
        <w:t xml:space="preserve">Repeated payment failure should be able to affect subscription status (e.g. trigger cancellation).</w:t>
      </w:r>
    </w:p>
    <w:p>
      <w:pPr>
        <w:pStyle w:val="ListParagraph"/>
        <w:numPr>
          <w:ilvl w:val="0"/>
          <w:numId w:val="2"/>
        </w:numPr>
        <w:spacing w:after="60"/>
      </w:pPr>
      <w:r>
        <w:t xml:space="preserve">All state-changing events (subscription created, plan changed, usage rated, invoice paid, etc.) must propagate across the system asynchronously, so no part of the system needs a synchronous, tightly-coupled call to another to stay correct.</w:t>
      </w:r>
    </w:p>
    <w:p>
      <w:pPr>
        <w:pStyle w:val="ListParagraph"/>
        <w:numPr>
          <w:ilvl w:val="0"/>
          <w:numId w:val="2"/>
        </w:numPr>
        <w:spacing w:after="60"/>
      </w:pPr>
      <w:r>
        <w:t xml:space="preserve">The system must remain correct under eventual consistency — no billing error should be possible just because one part of the system hasn’t yet processed an event another part already has.</w:t>
      </w:r>
    </w:p>
    <w:p>
      <w:pPr>
        <w:pStyle w:val="Heading1"/>
        <w:spacing w:after="160" w:before="320"/>
      </w:pPr>
      <w:r>
        <w:t xml:space="preserve">Design Goals / Restrictions</w:t>
      </w:r>
    </w:p>
    <w:p>
      <w:pPr>
        <w:pStyle w:val="ListParagraph"/>
        <w:numPr>
          <w:ilvl w:val="0"/>
          <w:numId w:val="2"/>
        </w:numPr>
        <w:spacing w:after="60"/>
      </w:pPr>
      <w:r>
        <w:t xml:space="preserve">Plan data must be immutable once versioned — a hard constraint, since it is the only way historical invoices stay correct after a plan changes.</w:t>
      </w:r>
    </w:p>
    <w:p>
      <w:pPr>
        <w:pStyle w:val="ListParagraph"/>
        <w:numPr>
          <w:ilvl w:val="0"/>
          <w:numId w:val="2"/>
        </w:numPr>
        <w:spacing w:after="60"/>
      </w:pPr>
      <w:r>
        <w:t xml:space="preserve">The entitlement check path must be low-latency — it sits on the hot path of customer-facing actions and cannot afford to hit a relational database or make a synchronous cross-service call under load.</w:t>
      </w:r>
    </w:p>
    <w:p>
      <w:pPr>
        <w:pStyle w:val="ListParagraph"/>
        <w:numPr>
          <w:ilvl w:val="0"/>
          <w:numId w:val="2"/>
        </w:numPr>
        <w:spacing w:after="60"/>
      </w:pPr>
      <w:r>
        <w:t xml:space="preserve">The entitlement store is explicitly a cache, not a source of truth — it must always be re-derivable from the authoritative data elsewhere in the system.</w:t>
      </w:r>
    </w:p>
    <w:p>
      <w:pPr>
        <w:pStyle w:val="ListParagraph"/>
        <w:numPr>
          <w:ilvl w:val="0"/>
          <w:numId w:val="2"/>
        </w:numPr>
        <w:spacing w:after="60"/>
      </w:pPr>
      <w:r>
        <w:t xml:space="preserve">Services should be independently deployable — cross-service consistency is handled through events, not direct synchronous coupling, so one service’s downtime or slowness doesn’t cascade.</w:t>
      </w:r>
    </w:p>
    <w:p>
      <w:pPr>
        <w:pStyle w:val="ListParagraph"/>
        <w:numPr>
          <w:ilvl w:val="0"/>
          <w:numId w:val="2"/>
        </w:numPr>
        <w:spacing w:after="60"/>
      </w:pPr>
      <w:r>
        <w:t xml:space="preserve">The system should be decomposed by domain responsibility (subscription/catalog, usage/rating, entitlement, invoicing/payment) rather than as a single monolith.</w:t>
      </w:r>
    </w:p>
    <w:p>
      <w:pPr>
        <w:pStyle w:val="ListParagraph"/>
        <w:numPr>
          <w:ilvl w:val="0"/>
          <w:numId w:val="2"/>
        </w:numPr>
        <w:spacing w:after="60"/>
      </w:pPr>
      <w:r>
        <w:t xml:space="preserve">Observability must be built in from the start — given the async, multi-service flow, it must be possible to trace a single business event across service boundaries, not just within one service.</w:t>
      </w:r>
    </w:p>
    <w:p>
      <w:pPr>
        <w:pStyle w:val="Heading1"/>
        <w:spacing w:after="160" w:before="320"/>
      </w:pPr>
      <w:r>
        <w:t xml:space="preserve">Tech Stack</w:t>
      </w:r>
    </w:p>
    <w:p>
      <w:pPr>
        <w:pStyle w:val="ListParagraph"/>
        <w:numPr>
          <w:ilvl w:val="0"/>
          <w:numId w:val="2"/>
        </w:numPr>
        <w:spacing w:after="60"/>
      </w:pPr>
      <w:r>
        <w:t xml:space="preserve">REST for general service-to-service and client-facing APIs</w:t>
      </w:r>
    </w:p>
    <w:p>
      <w:pPr>
        <w:pStyle w:val="ListParagraph"/>
        <w:numPr>
          <w:ilvl w:val="0"/>
          <w:numId w:val="2"/>
        </w:numPr>
        <w:spacing w:after="60"/>
      </w:pPr>
      <w:r>
        <w:t xml:space="preserve">gRPC specifically for the entitlement hot path</w:t>
      </w:r>
    </w:p>
    <w:p>
      <w:pPr>
        <w:pStyle w:val="ListParagraph"/>
        <w:numPr>
          <w:ilvl w:val="0"/>
          <w:numId w:val="2"/>
        </w:numPr>
        <w:spacing w:after="60"/>
      </w:pPr>
      <w:r>
        <w:t xml:space="preserve">RabbitMQ / Kafka for asynchronous, event-driven communication between services</w:t>
      </w:r>
    </w:p>
    <w:p>
      <w:pPr>
        <w:pStyle w:val="ListParagraph"/>
        <w:numPr>
          <w:ilvl w:val="0"/>
          <w:numId w:val="2"/>
        </w:numPr>
        <w:spacing w:after="60"/>
      </w:pPr>
      <w:r>
        <w:t xml:space="preserve">SQL Server for systems of record (subscription, catalog, invoicing)</w:t>
      </w:r>
    </w:p>
    <w:p>
      <w:pPr>
        <w:pStyle w:val="ListParagraph"/>
        <w:numPr>
          <w:ilvl w:val="0"/>
          <w:numId w:val="2"/>
        </w:numPr>
        <w:spacing w:after="60"/>
      </w:pPr>
      <w:r>
        <w:t xml:space="preserve">MongoDB for usage/event data</w:t>
      </w:r>
    </w:p>
    <w:p>
      <w:pPr>
        <w:pStyle w:val="ListParagraph"/>
        <w:numPr>
          <w:ilvl w:val="0"/>
          <w:numId w:val="2"/>
        </w:numPr>
        <w:spacing w:after="60"/>
      </w:pPr>
      <w:r>
        <w:t xml:space="preserve">Redis as the entitlement cache store</w:t>
      </w:r>
    </w:p>
    <w:p>
      <w:pPr>
        <w:pStyle w:val="ListParagraph"/>
        <w:numPr>
          <w:ilvl w:val="0"/>
          <w:numId w:val="2"/>
        </w:numPr>
        <w:spacing w:after="60"/>
      </w:pPr>
      <w:r>
        <w:t xml:space="preserve">OpenTelemetry for distributed tracing / observability</w:t>
      </w:r>
    </w:p>
    <w:p>
      <w:pPr>
        <w:pStyle w:val="Heading1"/>
        <w:spacing w:after="160" w:before="320"/>
      </w:pPr>
      <w:r>
        <w:t xml:space="preserve">Microservices Overview</w:t>
      </w:r>
    </w:p>
    <w:p>
      <w:pPr>
        <w:spacing w:after="120"/>
      </w:pPr>
      <w:r>
        <w:t xml:space="preserve">The platform is decomposed into four services, each owning a distinct consistency, latency, and failure-isolation profile.</w:t>
      </w:r>
    </w:p>
    <w:p>
      <w:pPr>
        <w:pStyle w:val="Heading2"/>
        <w:spacing w:after="120" w:before="240"/>
      </w:pPr>
      <w:r>
        <w:t xml:space="preserve">1. Subscription &amp; Catalog</w:t>
      </w:r>
    </w:p>
    <w:p>
      <w:pPr>
        <w:spacing w:after="80" w:before="160"/>
      </w:pPr>
      <w:r>
        <w:rPr>
          <w:b/>
          <w:bCs/>
          <w:color w:val="2E5EAA"/>
          <w:sz w:val="22"/>
          <w:szCs w:val="22"/>
        </w:rPr>
        <w:t xml:space="preserve">Owns:</w:t>
      </w:r>
    </w:p>
    <w:p>
      <w:pPr>
        <w:spacing w:after="120"/>
      </w:pPr>
      <w:r>
        <w:rPr>
          <w:sz w:val="20"/>
          <w:szCs w:val="20"/>
        </w:rPr>
        <w:t xml:space="preserve">Plans and their versions, customer subscriptions, and catalog data.</w:t>
      </w:r>
    </w:p>
    <w:p>
      <w:pPr>
        <w:spacing w:after="80" w:before="160"/>
      </w:pPr>
      <w:r>
        <w:rPr>
          <w:b/>
          <w:bCs/>
          <w:color w:val="2E5EAA"/>
          <w:sz w:val="22"/>
          <w:szCs w:val="22"/>
        </w:rPr>
        <w:t xml:space="preserve">Features covered:</w:t>
      </w:r>
    </w:p>
    <w:p>
      <w:pPr>
        <w:pStyle w:val="ListParagraph"/>
        <w:numPr>
          <w:ilvl w:val="0"/>
          <w:numId w:val="2"/>
        </w:numPr>
        <w:spacing w:after="60"/>
      </w:pPr>
      <w:r>
        <w:t xml:space="preserve">Create / read / update plans with pricing rules</w:t>
      </w:r>
    </w:p>
    <w:p>
      <w:pPr>
        <w:pStyle w:val="ListParagraph"/>
        <w:numPr>
          <w:ilvl w:val="0"/>
          <w:numId w:val="2"/>
        </w:numPr>
        <w:spacing w:after="60"/>
      </w:pPr>
      <w:r>
        <w:t xml:space="preserve">Immutable plan versioning — changes always create a new version</w:t>
      </w:r>
    </w:p>
    <w:p>
      <w:pPr>
        <w:pStyle w:val="ListParagraph"/>
        <w:numPr>
          <w:ilvl w:val="0"/>
          <w:numId w:val="2"/>
        </w:numPr>
        <w:spacing w:after="60"/>
      </w:pPr>
      <w:r>
        <w:t xml:space="preserve">Subscribe a customer to a specific plan version</w:t>
      </w:r>
    </w:p>
    <w:p>
      <w:pPr>
        <w:pStyle w:val="ListParagraph"/>
        <w:numPr>
          <w:ilvl w:val="0"/>
          <w:numId w:val="2"/>
        </w:numPr>
        <w:spacing w:after="60"/>
      </w:pPr>
      <w:r>
        <w:t xml:space="preserve">Upgrade / downgrade subscriptions, resolving which plan version applies on each side of the change</w:t>
      </w:r>
    </w:p>
    <w:p>
      <w:pPr>
        <w:pStyle w:val="ListParagraph"/>
        <w:numPr>
          <w:ilvl w:val="0"/>
          <w:numId w:val="2"/>
        </w:numPr>
        <w:spacing w:after="60"/>
      </w:pPr>
      <w:r>
        <w:t xml:space="preserve">Cancel / reactivate subscriptions</w:t>
      </w:r>
    </w:p>
    <w:p>
      <w:pPr>
        <w:pStyle w:val="ListParagraph"/>
        <w:numPr>
          <w:ilvl w:val="0"/>
          <w:numId w:val="2"/>
        </w:numPr>
        <w:spacing w:after="60"/>
      </w:pPr>
      <w:r>
        <w:t xml:space="preserve">Publish domain events on plan and subscription state changes (e.g. PlanVersionPublished, SubscriptionCreated, SubscriptionUpgraded, SubscriptionCancelled)</w:t>
      </w:r>
    </w:p>
    <w:p>
      <w:pPr>
        <w:pStyle w:val="Heading2"/>
        <w:spacing w:after="120" w:before="240"/>
      </w:pPr>
      <w:r>
        <w:t xml:space="preserve">2. Usage Metering &amp; Rating</w:t>
      </w:r>
    </w:p>
    <w:p>
      <w:pPr>
        <w:spacing w:after="80" w:before="160"/>
      </w:pPr>
      <w:r>
        <w:rPr>
          <w:b/>
          <w:bCs/>
          <w:color w:val="2E5EAA"/>
          <w:sz w:val="22"/>
          <w:szCs w:val="22"/>
        </w:rPr>
        <w:t xml:space="preserve">Owns:</w:t>
      </w:r>
    </w:p>
    <w:p>
      <w:pPr>
        <w:spacing w:after="120"/>
      </w:pPr>
      <w:r>
        <w:rPr>
          <w:sz w:val="20"/>
          <w:szCs w:val="20"/>
        </w:rPr>
        <w:t xml:space="preserve">Raw usage events and the rating of usage into billable amounts.</w:t>
      </w:r>
    </w:p>
    <w:p>
      <w:pPr>
        <w:spacing w:after="80" w:before="160"/>
      </w:pPr>
      <w:r>
        <w:rPr>
          <w:b/>
          <w:bCs/>
          <w:color w:val="2E5EAA"/>
          <w:sz w:val="22"/>
          <w:szCs w:val="22"/>
        </w:rPr>
        <w:t xml:space="preserve">Features covered:</w:t>
      </w:r>
    </w:p>
    <w:p>
      <w:pPr>
        <w:pStyle w:val="ListParagraph"/>
        <w:numPr>
          <w:ilvl w:val="0"/>
          <w:numId w:val="2"/>
        </w:numPr>
        <w:spacing w:after="60"/>
      </w:pPr>
      <w:r>
        <w:t xml:space="preserve">High-volume ingestion of usage events</w:t>
      </w:r>
    </w:p>
    <w:p>
      <w:pPr>
        <w:pStyle w:val="ListParagraph"/>
        <w:numPr>
          <w:ilvl w:val="0"/>
          <w:numId w:val="2"/>
        </w:numPr>
        <w:spacing w:after="60"/>
      </w:pPr>
      <w:r>
        <w:t xml:space="preserve">Idempotent event handling — no double-counting on retry or duplicate delivery</w:t>
      </w:r>
    </w:p>
    <w:p>
      <w:pPr>
        <w:pStyle w:val="ListParagraph"/>
        <w:numPr>
          <w:ilvl w:val="0"/>
          <w:numId w:val="2"/>
        </w:numPr>
        <w:spacing w:after="60"/>
      </w:pPr>
      <w:r>
        <w:t xml:space="preserve">Rating engine that prices usage against the plan version active at the time of use</w:t>
      </w:r>
    </w:p>
    <w:p>
      <w:pPr>
        <w:pStyle w:val="ListParagraph"/>
        <w:numPr>
          <w:ilvl w:val="0"/>
          <w:numId w:val="2"/>
        </w:numPr>
        <w:spacing w:after="60"/>
      </w:pPr>
      <w:r>
        <w:t xml:space="preserve">Consumes plan/subscription events to know current pricing rules per customer</w:t>
      </w:r>
    </w:p>
    <w:p>
      <w:pPr>
        <w:pStyle w:val="ListParagraph"/>
        <w:numPr>
          <w:ilvl w:val="0"/>
          <w:numId w:val="2"/>
        </w:numPr>
        <w:spacing w:after="60"/>
      </w:pPr>
      <w:r>
        <w:t xml:space="preserve">Publishes UsageRated events for downstream invoicing</w:t>
      </w:r>
    </w:p>
    <w:p>
      <w:pPr>
        <w:pStyle w:val="Heading2"/>
        <w:spacing w:after="120" w:before="240"/>
      </w:pPr>
      <w:r>
        <w:t xml:space="preserve">3. Entitlement</w:t>
      </w:r>
    </w:p>
    <w:p>
      <w:pPr>
        <w:spacing w:after="80" w:before="160"/>
      </w:pPr>
      <w:r>
        <w:rPr>
          <w:b/>
          <w:bCs/>
          <w:color w:val="2E5EAA"/>
          <w:sz w:val="22"/>
          <w:szCs w:val="22"/>
        </w:rPr>
        <w:t xml:space="preserve">Owns:</w:t>
      </w:r>
    </w:p>
    <w:p>
      <w:pPr>
        <w:spacing w:after="120"/>
      </w:pPr>
      <w:r>
        <w:rPr>
          <w:sz w:val="20"/>
          <w:szCs w:val="20"/>
        </w:rPr>
        <w:t xml:space="preserve">A derived, read-only answer to “can this customer do X right now” — explicitly not a source of truth.</w:t>
      </w:r>
    </w:p>
    <w:p>
      <w:pPr>
        <w:spacing w:after="80" w:before="160"/>
      </w:pPr>
      <w:r>
        <w:rPr>
          <w:b/>
          <w:bCs/>
          <w:color w:val="2E5EAA"/>
          <w:sz w:val="22"/>
          <w:szCs w:val="22"/>
        </w:rPr>
        <w:t xml:space="preserve">Features covered:</w:t>
      </w:r>
    </w:p>
    <w:p>
      <w:pPr>
        <w:pStyle w:val="ListParagraph"/>
        <w:numPr>
          <w:ilvl w:val="0"/>
          <w:numId w:val="2"/>
        </w:numPr>
        <w:spacing w:after="60"/>
      </w:pPr>
      <w:r>
        <w:t xml:space="preserve">Low-latency entitlement checks served over gRPC from a Redis-backed cache</w:t>
      </w:r>
    </w:p>
    <w:p>
      <w:pPr>
        <w:pStyle w:val="ListParagraph"/>
        <w:numPr>
          <w:ilvl w:val="0"/>
          <w:numId w:val="2"/>
        </w:numPr>
        <w:spacing w:after="60"/>
      </w:pPr>
      <w:r>
        <w:t xml:space="preserve">No direct writes accepted from clients — state changes only via consumed events</w:t>
      </w:r>
    </w:p>
    <w:p>
      <w:pPr>
        <w:pStyle w:val="ListParagraph"/>
        <w:numPr>
          <w:ilvl w:val="0"/>
          <w:numId w:val="2"/>
        </w:numPr>
        <w:spacing w:after="60"/>
      </w:pPr>
      <w:r>
        <w:t xml:space="preserve">Continuous projection/sync from Subscription and Usage events into the cache</w:t>
      </w:r>
    </w:p>
    <w:p>
      <w:pPr>
        <w:pStyle w:val="ListParagraph"/>
        <w:numPr>
          <w:ilvl w:val="0"/>
          <w:numId w:val="2"/>
        </w:numPr>
        <w:spacing w:after="60"/>
      </w:pPr>
      <w:r>
        <w:t xml:space="preserve">Cache invalidation and full rebuild-from-source capability if data is stale or lost</w:t>
      </w:r>
    </w:p>
    <w:p>
      <w:pPr>
        <w:pStyle w:val="Heading2"/>
        <w:spacing w:after="120" w:before="240"/>
      </w:pPr>
      <w:r>
        <w:t xml:space="preserve">4. Invoicing &amp; Payment Collection</w:t>
      </w:r>
    </w:p>
    <w:p>
      <w:pPr>
        <w:spacing w:after="80" w:before="160"/>
      </w:pPr>
      <w:r>
        <w:rPr>
          <w:b/>
          <w:bCs/>
          <w:color w:val="2E5EAA"/>
          <w:sz w:val="22"/>
          <w:szCs w:val="22"/>
        </w:rPr>
        <w:t xml:space="preserve">Owns:</w:t>
      </w:r>
    </w:p>
    <w:p>
      <w:pPr>
        <w:spacing w:after="120"/>
      </w:pPr>
      <w:r>
        <w:rPr>
          <w:sz w:val="20"/>
          <w:szCs w:val="20"/>
        </w:rPr>
        <w:t xml:space="preserve">Invoice generation and payment collection.</w:t>
      </w:r>
    </w:p>
    <w:p>
      <w:pPr>
        <w:spacing w:after="80" w:before="160"/>
      </w:pPr>
      <w:r>
        <w:rPr>
          <w:b/>
          <w:bCs/>
          <w:color w:val="2E5EAA"/>
          <w:sz w:val="22"/>
          <w:szCs w:val="22"/>
        </w:rPr>
        <w:t xml:space="preserve">Features covered:</w:t>
      </w:r>
    </w:p>
    <w:p>
      <w:pPr>
        <w:pStyle w:val="ListParagraph"/>
        <w:numPr>
          <w:ilvl w:val="0"/>
          <w:numId w:val="2"/>
        </w:numPr>
        <w:spacing w:after="60"/>
      </w:pPr>
      <w:r>
        <w:t xml:space="preserve">Assemble invoices from rated usage line items for a billing period</w:t>
      </w:r>
    </w:p>
    <w:p>
      <w:pPr>
        <w:pStyle w:val="ListParagraph"/>
        <w:numPr>
          <w:ilvl w:val="0"/>
          <w:numId w:val="2"/>
        </w:numPr>
        <w:spacing w:after="60"/>
      </w:pPr>
      <w:r>
        <w:t xml:space="preserve">Bind each invoice to the exact plan version(s) active during that period</w:t>
      </w:r>
    </w:p>
    <w:p>
      <w:pPr>
        <w:pStyle w:val="ListParagraph"/>
        <w:numPr>
          <w:ilvl w:val="0"/>
          <w:numId w:val="2"/>
        </w:numPr>
        <w:spacing w:after="60"/>
      </w:pPr>
      <w:r>
        <w:t xml:space="preserve">Invoice lifecycle states: draft → finalized → paid → overdue</w:t>
      </w:r>
    </w:p>
    <w:p>
      <w:pPr>
        <w:pStyle w:val="ListParagraph"/>
        <w:numPr>
          <w:ilvl w:val="0"/>
          <w:numId w:val="2"/>
        </w:numPr>
        <w:spacing w:after="60"/>
      </w:pPr>
      <w:r>
        <w:t xml:space="preserve">Payment collection with retry / dunning logic on failure</w:t>
      </w:r>
    </w:p>
    <w:p>
      <w:pPr>
        <w:pStyle w:val="ListParagraph"/>
        <w:numPr>
          <w:ilvl w:val="0"/>
          <w:numId w:val="2"/>
        </w:numPr>
        <w:spacing w:after="60"/>
      </w:pPr>
      <w:r>
        <w:t xml:space="preserve">Publishes InvoicePaid / PaymentFailed events; repeated failure can trigger subscription cancellation</w:t>
      </w:r>
    </w:p>
    <w:p>
      <w:pPr>
        <w:pStyle w:val="Heading2"/>
        <w:spacing w:after="120" w:before="240"/>
      </w:pPr>
      <w:r>
        <w:t xml:space="preserve">Cross-Cutting Concerns</w:t>
      </w:r>
    </w:p>
    <w:p>
      <w:pPr>
        <w:pStyle w:val="ListParagraph"/>
        <w:numPr>
          <w:ilvl w:val="0"/>
          <w:numId w:val="2"/>
        </w:numPr>
        <w:spacing w:after="60"/>
      </w:pPr>
      <w:r>
        <w:t xml:space="preserve">Event/message topic design across RabbitMQ or Kafka, shared and versioned event contracts</w:t>
      </w:r>
    </w:p>
    <w:p>
      <w:pPr>
        <w:pStyle w:val="ListParagraph"/>
        <w:numPr>
          <w:ilvl w:val="0"/>
          <w:numId w:val="2"/>
        </w:numPr>
        <w:spacing w:after="60"/>
      </w:pPr>
      <w:r>
        <w:t xml:space="preserve">OpenTelemetry instrumentation across all services, tracing spans across the async event chain</w:t>
      </w:r>
    </w:p>
    <w:p>
      <w:pPr>
        <w:pStyle w:val="ListParagraph"/>
        <w:numPr>
          <w:ilvl w:val="0"/>
          <w:numId w:val="2"/>
        </w:numPr>
        <w:spacing w:after="60"/>
      </w:pPr>
      <w:r>
        <w:t xml:space="preserve">gRPC reserved for the entitlement hot path; REST elsewhere</w:t>
      </w:r>
    </w:p>
    <w:p>
      <w:pPr>
        <w:pStyle w:val="ListParagraph"/>
        <w:numPr>
          <w:ilvl w:val="0"/>
          <w:numId w:val="2"/>
        </w:numPr>
        <w:spacing w:after="60"/>
      </w:pPr>
      <w:r>
        <w:t xml:space="preserve">Testing strategy for eventual consistency — verifying invoicing never uses stale plan pricing</w:t>
      </w:r>
    </w:p>
    <w:p>
      <w:pPr>
        <w:pStyle w:val="Heading1"/>
        <w:spacing w:after="160" w:before="320"/>
      </w:pPr>
      <w:r>
        <w:t xml:space="preserve">Open Decisions</w:t>
      </w:r>
    </w:p>
    <w:p>
      <w:pPr>
        <w:pStyle w:val="ListParagraph"/>
        <w:numPr>
          <w:ilvl w:val="0"/>
          <w:numId w:val="2"/>
        </w:numPr>
        <w:spacing w:after="60"/>
      </w:pPr>
      <w:r>
        <w:t xml:space="preserve">Whether Plan should split out of Subscription &amp; Catalog into its own service — current analysis (rate of change, consistency, latency, failure isolation) favors keeping it merged unless a specific independent-scaling or deployment reason emerges.</w:t>
      </w:r>
    </w:p>
    <w:p>
      <w:pPr>
        <w:pStyle w:val="ListParagraph"/>
        <w:numPr>
          <w:ilvl w:val="0"/>
          <w:numId w:val="2"/>
        </w:numPr>
        <w:spacing w:after="60"/>
      </w:pPr>
      <w:r>
        <w:t xml:space="preserve">Final event schema / contract between services is not yet defined.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2026-09-04T13:23:26.711Z</dcterms:created>
  <dcterms:modified xsi:type="dcterms:W3CDTF">2026-09-04T13:23:26.722Z</dcterms:modified>
</cp:coreProperties>
</file>

<file path=docProps/custom.xml><?xml version="1.0" encoding="utf-8"?>
<Properties xmlns="http://schemas.openxmlformats.org/officeDocument/2006/custom-properties" xmlns:vt="http://schemas.openxmlformats.org/officeDocument/2006/docPropsVTypes"/>
</file>