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VOTIVA</w:t>
      </w:r>
    </w:p>
    <w:p>
      <w:pPr>
        <w:pStyle w:val="Title"/>
      </w:pPr>
      <w:r>
        <w:t>Documentazione completa del progetto</w:t>
      </w:r>
    </w:p>
    <w:p>
      <w:pPr>
        <w:pStyle w:val="Subtitle"/>
      </w:pPr>
      <w:r>
        <w:t>Relazione tecnica, guida funzionale e Work Breakdown Structure</w:t>
      </w:r>
    </w:p>
    <w:p>
      <w:r>
        <w:t>Software 1.0.0 · Registro personale offline</w:t>
        <w:br/>
        <w:t>Windows · Android · Frontend web</w:t>
      </w:r>
    </w:p>
    <w:p>
      <w:r>
        <w:t>Documento 2.0 — 30 ottobre 2026</w:t>
      </w:r>
    </w:p>
    <w:p>
      <w:r>
        <w:t>Perimetro: Votiva 1.0.0. Stati realizzati, verifiche e attività future esplicitamente distinti.</w:t>
      </w:r>
    </w:p>
    <w:p>
      <w:r>
        <w:t>Nessun dato personale reale, password o chiave privata è incluso in questo documento.</w:t>
      </w:r>
    </w:p>
    <w:p>
      <w:r>
        <w:br w:type="page"/>
      </w:r>
    </w:p>
    <w:p>
      <w:pPr>
        <w:pStyle w:val="Heading1"/>
      </w:pPr>
      <w:r>
        <w:t>Votiva — Documentazione del progetto</w:t>
      </w:r>
    </w:p>
    <w:p>
      <w:pPr/>
      <w:r>
        <w:t>Documento 2.0 · 30 ottobre 2026 · software 1.0.0. Sostituisce la relazione della versione 0.4.0. Il documento descrive lo stato implementato e distingue i controlli automatici dalle verifiche ancora necessarie.</w:t>
      </w:r>
    </w:p>
    <w:p>
      <w:pPr>
        <w:pStyle w:val="Heading2"/>
      </w:pPr>
      <w:r>
        <w:t>1. Obiettivo e confini</w:t>
      </w:r>
    </w:p>
    <w:p>
      <w:pPr/>
      <w:r>
        <w:t>Votiva è un registro personale di voti e medie, utilizzabile offline su Windows, Android e browser moderni. Su iPhone e iPad il sito HTTPS può essere aggiunto alla schermata Home da Safari. Non è pubblicato su App Store. Il cambio nome sostituisce l’identità visibile RegistroMedia; identificatori tecnici e formato dei backup restano stabili.</w:t>
      </w:r>
    </w:p>
    <w:p>
      <w:pPr/>
      <w:r>
        <w:t>Argo e ogni collegamento al registro scolastico, screenshot/OCR, agenda e simulatore sono rimossi dall’interfaccia, dalle allowlist native, dai file distribuiti e dalle dipendenze. Non esistono API scolastiche, server per gli account, sincronizzazione automatica o recupero password. Non vengono promessi assenza totale di bug, compatibilità con tutti i dispositivi o valutazioni scolastiche ufficiali.</w:t>
      </w:r>
    </w:p>
    <w:p>
      <w:pPr>
        <w:pStyle w:val="Heading2"/>
      </w:pPr>
      <w:r>
        <w:t>2. Funzionalità e percorsi principali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43"/>
        <w:gridCol w:w="3120"/>
        <w:gridCol w:w="4388"/>
      </w:tblGrid>
      <w:tr>
        <w:trPr>
          <w:tblHeader/>
          <w:cantSplit/>
        </w:trPr>
        <w:tc>
          <w:tcPr>
            <w:tcW w:type="dxa" w:w="2243"/>
            <w:shd w:fill="193B31"/>
          </w:tcPr>
          <w:p>
            <w:pPr>
              <w:spacing w:after="80"/>
            </w:pPr>
            <w:r>
              <w:rPr>
                <w:b/>
                <w:color w:val="FFFFFF"/>
                <w:sz w:val="18"/>
              </w:rPr>
              <w:t>Funzione</w:t>
            </w:r>
          </w:p>
        </w:tc>
        <w:tc>
          <w:tcPr>
            <w:tcW w:type="dxa" w:w="3120"/>
            <w:shd w:fill="193B31"/>
          </w:tcPr>
          <w:p>
            <w:pPr>
              <w:spacing w:after="80"/>
            </w:pPr>
            <w:r>
              <w:rPr>
                <w:b/>
                <w:color w:val="FFFFFF"/>
                <w:sz w:val="18"/>
              </w:rPr>
              <w:t>Comportamento</w:t>
            </w:r>
          </w:p>
        </w:tc>
        <w:tc>
          <w:tcPr>
            <w:tcW w:type="dxa" w:w="4388"/>
            <w:shd w:fill="193B31"/>
          </w:tcPr>
          <w:p>
            <w:pPr>
              <w:spacing w:after="80"/>
            </w:pPr>
            <w:r>
              <w:rPr>
                <w:b/>
                <w:color w:val="FFFFFF"/>
                <w:sz w:val="18"/>
              </w:rPr>
              <w:t>Percorso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after="80"/>
            </w:pPr>
            <w:r>
              <w:rPr>
                <w:sz w:val="18"/>
              </w:rPr>
              <w:t>Account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sz w:val="18"/>
              </w:rPr>
              <w:t>Registrazione locale con username, nome facoltativo e password da 12 a 128 caratteri</w:t>
            </w:r>
          </w:p>
        </w:tc>
        <w:tc>
          <w:tcPr>
            <w:tcW w:type="dxa" w:w="4388"/>
          </w:tcPr>
          <w:p>
            <w:pPr>
              <w:spacing w:after="80"/>
            </w:pPr>
            <w:r>
              <w:rPr>
                <w:sz w:val="18"/>
              </w:rPr>
              <w:t>Accedi / Crea account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after="80"/>
            </w:pPr>
            <w:r>
              <w:rPr>
                <w:sz w:val="18"/>
              </w:rPr>
              <w:t>Materie iniziali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sz w:val="18"/>
              </w:rPr>
              <w:t>Italiano, Storia, Informatica, Sistemi e reti, Inglese, Motoria, Educazione civica, Telecomunicazioni, TPSIT, Matematica</w:t>
            </w:r>
          </w:p>
        </w:tc>
        <w:tc>
          <w:tcPr>
            <w:tcW w:type="dxa" w:w="4388"/>
          </w:tcPr>
          <w:p>
            <w:pPr>
              <w:spacing w:after="80"/>
            </w:pPr>
            <w:r>
              <w:rPr>
                <w:sz w:val="18"/>
              </w:rPr>
              <w:t>Nuovo account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after="80"/>
            </w:pPr>
            <w:r>
              <w:rPr>
                <w:sz w:val="18"/>
              </w:rPr>
              <w:t>Gestione materie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sz w:val="18"/>
              </w:rPr>
              <w:t>Aggiunta, rinomina ed eliminazione con conferma; eliminare una materia elimina anche i relativi voti</w:t>
            </w:r>
          </w:p>
        </w:tc>
        <w:tc>
          <w:tcPr>
            <w:tcW w:type="dxa" w:w="4388"/>
          </w:tcPr>
          <w:p>
            <w:pPr>
              <w:spacing w:after="80"/>
            </w:pPr>
            <w:r>
              <w:rPr>
                <w:sz w:val="18"/>
              </w:rPr>
              <w:t>Scheda Materie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after="80"/>
            </w:pPr>
            <w:r>
              <w:rPr>
                <w:sz w:val="18"/>
              </w:rPr>
              <w:t>Voti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sz w:val="18"/>
              </w:rPr>
              <w:t>Selettore 0,25–10 ogni 0,25, tipo Orale/Scritto/Pratico, data, peso e nota</w:t>
            </w:r>
          </w:p>
        </w:tc>
        <w:tc>
          <w:tcPr>
            <w:tcW w:type="dxa" w:w="4388"/>
          </w:tcPr>
          <w:p>
            <w:pPr>
              <w:spacing w:after="80"/>
            </w:pPr>
            <w:r>
              <w:rPr>
                <w:sz w:val="18"/>
              </w:rPr>
              <w:t>Aggiungi voto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after="80"/>
            </w:pPr>
            <w:r>
              <w:rPr>
                <w:sz w:val="18"/>
              </w:rPr>
              <w:t>Dettaglio materia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sz w:val="18"/>
              </w:rPr>
              <w:t>Voti del periodo selezionato, modifica ed eliminazione</w:t>
            </w:r>
          </w:p>
        </w:tc>
        <w:tc>
          <w:tcPr>
            <w:tcW w:type="dxa" w:w="4388"/>
          </w:tcPr>
          <w:p>
            <w:pPr>
              <w:spacing w:after="80"/>
            </w:pPr>
            <w:r>
              <w:rPr>
                <w:sz w:val="18"/>
              </w:rPr>
              <w:t>Tocca il nome della materia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after="80"/>
            </w:pPr>
            <w:r>
              <w:rPr>
                <w:sz w:val="18"/>
              </w:rPr>
              <w:t>Periodi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sz w:val="18"/>
              </w:rPr>
              <w:t>Trimestre, pentamestre e anno; anno scolastico selezionabile</w:t>
            </w:r>
          </w:p>
        </w:tc>
        <w:tc>
          <w:tcPr>
            <w:tcW w:type="dxa" w:w="4388"/>
          </w:tcPr>
          <w:p>
            <w:pPr>
              <w:spacing w:after="80"/>
            </w:pPr>
            <w:r>
              <w:rPr>
                <w:sz w:val="18"/>
              </w:rPr>
              <w:t>Barra sopra la media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after="80"/>
            </w:pPr>
            <w:r>
              <w:rPr>
                <w:sz w:val="18"/>
              </w:rPr>
              <w:t>Date personalizzate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sz w:val="18"/>
              </w:rPr>
              <w:t>Inizio trimestre, fine trimestre e fine pentamestre; date ricorrenti ogni anno</w:t>
            </w:r>
          </w:p>
        </w:tc>
        <w:tc>
          <w:tcPr>
            <w:tcW w:type="dxa" w:w="4388"/>
          </w:tcPr>
          <w:p>
            <w:pPr>
              <w:spacing w:after="80"/>
            </w:pPr>
            <w:r>
              <w:rPr>
                <w:sz w:val="18"/>
              </w:rPr>
              <w:t>Account → Date dei periodi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after="80"/>
            </w:pPr>
            <w:r>
              <w:rPr>
                <w:sz w:val="18"/>
              </w:rPr>
              <w:t>Statistiche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sz w:val="18"/>
              </w:rPr>
              <w:t>Media generale, materie sotto il 6, grafico delle medie, percentuale di voti sufficienti</w:t>
            </w:r>
          </w:p>
        </w:tc>
        <w:tc>
          <w:tcPr>
            <w:tcW w:type="dxa" w:w="4388"/>
          </w:tcPr>
          <w:p>
            <w:pPr>
              <w:spacing w:after="80"/>
            </w:pPr>
            <w:r>
              <w:rPr>
                <w:sz w:val="18"/>
              </w:rPr>
              <w:t>Schermata principale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after="80"/>
            </w:pPr>
            <w:r>
              <w:rPr>
                <w:sz w:val="18"/>
              </w:rPr>
              <w:t>Password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sz w:val="18"/>
              </w:rPr>
              <w:t>Mostra ciò che viene digitato; cambia la password verificando quella attuale</w:t>
            </w:r>
          </w:p>
        </w:tc>
        <w:tc>
          <w:tcPr>
            <w:tcW w:type="dxa" w:w="4388"/>
          </w:tcPr>
          <w:p>
            <w:pPr>
              <w:spacing w:after="80"/>
            </w:pPr>
            <w:r>
              <w:rPr>
                <w:sz w:val="18"/>
              </w:rPr>
              <w:t>Accesso / Account → Password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after="80"/>
            </w:pPr>
            <w:r>
              <w:rPr>
                <w:sz w:val="18"/>
              </w:rPr>
              <w:t>Backup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sz w:val="18"/>
              </w:rPr>
              <w:t>Esportazione cifrata e ripristino verificato dalla password del backup</w:t>
            </w:r>
          </w:p>
        </w:tc>
        <w:tc>
          <w:tcPr>
            <w:tcW w:type="dxa" w:w="4388"/>
          </w:tcPr>
          <w:p>
            <w:pPr>
              <w:spacing w:after="80"/>
            </w:pPr>
            <w:r>
              <w:rPr>
                <w:sz w:val="18"/>
              </w:rPr>
              <w:t>Account o schermata di accesso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after="80"/>
            </w:pPr>
            <w:r>
              <w:rPr>
                <w:sz w:val="18"/>
              </w:rPr>
              <w:t>Aspetto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sz w:val="18"/>
              </w:rPr>
              <w:t>Chiaro, scuro o tema del sistema</w:t>
            </w:r>
          </w:p>
        </w:tc>
        <w:tc>
          <w:tcPr>
            <w:tcW w:type="dxa" w:w="4388"/>
          </w:tcPr>
          <w:p>
            <w:pPr>
              <w:spacing w:after="80"/>
            </w:pPr>
            <w:r>
              <w:rPr>
                <w:sz w:val="18"/>
              </w:rPr>
              <w:t>Selettore in alto</w:t>
            </w:r>
          </w:p>
        </w:tc>
      </w:tr>
    </w:tbl>
    <w:p/>
    <w:p>
      <w:pPr/>
      <w:r>
        <w:t>L’accesso resta attivo dopo la chiusura dell’app fino a Esci. I dati di account differenti sono isolati. Le materie predefinite inizializzano solo i nuovi account: i profili esistenti e i backup conservano il proprio elenco.</w:t>
      </w:r>
    </w:p>
    <w:p>
      <w:pPr>
        <w:pStyle w:val="Heading2"/>
      </w:pPr>
      <w:r>
        <w:t>3. Calcoli, soglie e date</w:t>
      </w:r>
    </w:p>
    <w:p>
      <w:pPr/>
      <w:r>
        <w:t>La media della materia è Σ(voto × peso) / Σ(pesi). Per esempio, 6 con peso 1 e 9 con peso 2 danno 8. Il peso è maggiore di zero e al massimo 10; il valore predefinito è 1.</w:t>
      </w:r>
    </w:p>
    <w:p>
      <w:pPr/>
      <w:r>
        <w:t>La media generale è la media aritmetica delle medie delle materie che hanno almeno un voto nel filtro corrente. Una materia senza voti non vale zero. Per esempio, Matematica con due 6 e Italiano con un 9 danno media generale 7,5, mentre la media di tutti i singoli voti sarebbe 7. L’anno intero usa tutti i voti dell’anno per ogni materia e non la media semplice delle due medie di periodo.</w:t>
      </w:r>
    </w:p>
    <w:p>
      <w:pPr/>
      <w:r>
        <w:t>La percentuale è numero di voti ≥ 6 / numero totale di voti × 100, arrotondata all’intero. Non è la percentuale di materie sufficienti né la media convertita in percentuale. Senza voti compare un trattino. Il grafico usa una scala fissa 0–10 e riporta anche il valore numerico per l’accessibilità.</w:t>
      </w:r>
    </w:p>
    <w:p>
      <w:pPr/>
      <w:r>
        <w:t>Rosso significa valore effettivo inferiore a 6; verde significa almeno 6. Le medie sono mostrate con una o due cifre decimali, ma i calcoli usano i valori completi. L’arrotondamento visivo può differire dalla soglia effettiva per vecchi voti o pesi non standard.</w:t>
      </w:r>
    </w:p>
    <w:p>
      <w:pPr/>
      <w:r>
        <w:t>Le date sono ISO YYYY-MM-DD; la data di oggi è determinata nel fuso Europe/Rome. L’anno scolastico inizia a settembre. Per impostazione iniziale il trimestre va dal 1° settembre al 31 dicembre, il pentamestre dal 1° gennaio al 30 giugno. I confini sono inclusivi; il pentamestre inizia il giorno dopo la fine del trimestre. È possibile terminare il trimestre a gennaio. Le date devono seguire l’ordine scolastico e terminare entro giugno; il 29 febbraio non è ammesso come confine ricorrente. Luglio e agosto non accettano nuovi voti.</w:t>
      </w:r>
    </w:p>
    <w:p>
      <w:pPr/>
      <w:r>
        <w:t>Cambiare i confini non elimina voti. I voti precedenti esclusi dai nuovi periodi restano in Anno intero. Le impostazioni dei confini valgono per tutti gli anni del profilo; non esiste un calendario diverso per ciascun anno.</w:t>
      </w:r>
    </w:p>
    <w:p>
      <w:pPr>
        <w:pStyle w:val="Heading2"/>
      </w:pPr>
      <w:r>
        <w:t>4. Interfaccia e adattamento</w:t>
      </w:r>
    </w:p>
    <w:p>
      <w:pPr/>
      <w:r>
        <w:t>L’interfaccia usa caratteri di sistema, colori verde bosco e avorio, logo vettoriale V e temi coordinati. Il registro precede il grafico nel flusso mobile; su desktop ampio i due pannelli sono affiancati. Le finestre modali hanno altezza massima e scorrimento interno. Le etichette, lo stato delle schede e i grafici hanno nomi accessibili; i colori hanno anche indicazioni testuali.</w:t>
      </w:r>
    </w:p>
    <w:p>
      <w:pPr/>
      <w:r>
        <w:t>Le larghezze controllate automaticamente sono 320, 375, 390, 430, 768, 1024, 1440 e 1920 pixel, con controllo dell’overflow e dei dialoghi. Questi controlli non sostituiscono un audit completo con VoiceOver/TalkBack, zoom, orientamento e dispositivi reali.</w:t>
      </w:r>
    </w:p>
    <w:p>
      <w:pPr>
        <w:pStyle w:val="Heading2"/>
      </w:pPr>
      <w:r>
        <w:t>5. Architettura e componenti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43"/>
        <w:gridCol w:w="3120"/>
        <w:gridCol w:w="4388"/>
      </w:tblGrid>
      <w:tr>
        <w:trPr>
          <w:tblHeader/>
          <w:cantSplit/>
        </w:trPr>
        <w:tc>
          <w:tcPr>
            <w:tcW w:type="dxa" w:w="2243"/>
            <w:shd w:fill="193B31"/>
          </w:tcPr>
          <w:p>
            <w:pPr>
              <w:spacing w:after="80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120"/>
            <w:shd w:fill="193B31"/>
          </w:tcPr>
          <w:p>
            <w:pPr>
              <w:spacing w:after="80"/>
            </w:pPr>
            <w:r>
              <w:rPr>
                <w:b/>
                <w:color w:val="FFFFFF"/>
                <w:sz w:val="18"/>
              </w:rPr>
              <w:t>Responsabilità</w:t>
            </w:r>
          </w:p>
        </w:tc>
        <w:tc>
          <w:tcPr>
            <w:tcW w:type="dxa" w:w="4388"/>
            <w:shd w:fill="193B31"/>
          </w:tcPr>
          <w:p>
            <w:pPr>
              <w:spacing w:after="80"/>
            </w:pPr>
            <w:r>
              <w:rPr>
                <w:b/>
                <w:color w:val="FFFFFF"/>
                <w:sz w:val="18"/>
              </w:rPr>
              <w:t>Tecnologie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after="80"/>
            </w:pPr>
            <w:r>
              <w:rPr>
                <w:sz w:val="18"/>
              </w:rPr>
              <w:t>index.html / style.css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sz w:val="18"/>
              </w:rPr>
              <w:t>Struttura, dialoghi e layout responsive</w:t>
            </w:r>
          </w:p>
        </w:tc>
        <w:tc>
          <w:tcPr>
            <w:tcW w:type="dxa" w:w="4388"/>
          </w:tcPr>
          <w:p>
            <w:pPr>
              <w:spacing w:after="80"/>
            </w:pPr>
            <w:r>
              <w:rPr>
                <w:sz w:val="18"/>
              </w:rPr>
              <w:t>HTML e CSS, senza framework UI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after="80"/>
            </w:pPr>
            <w:r>
              <w:rPr>
                <w:sz w:val="18"/>
              </w:rPr>
              <w:t>app.mjs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sz w:val="18"/>
              </w:rPr>
              <w:t>Eventi, filtri, rendering sicuro e salvataggi</w:t>
            </w:r>
          </w:p>
        </w:tc>
        <w:tc>
          <w:tcPr>
            <w:tcW w:type="dxa" w:w="4388"/>
          </w:tcPr>
          <w:p>
            <w:pPr>
              <w:spacing w:after="80"/>
            </w:pPr>
            <w:r>
              <w:rPr>
                <w:sz w:val="18"/>
              </w:rPr>
              <w:t>JavaScript ES modules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after="80"/>
            </w:pPr>
            <w:r>
              <w:rPr>
                <w:sz w:val="18"/>
              </w:rPr>
              <w:t>model.mjs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sz w:val="18"/>
              </w:rPr>
              <w:t>Validazione, periodi, medie e materie iniziali</w:t>
            </w:r>
          </w:p>
        </w:tc>
        <w:tc>
          <w:tcPr>
            <w:tcW w:type="dxa" w:w="4388"/>
          </w:tcPr>
          <w:p>
            <w:pPr>
              <w:spacing w:after="80"/>
            </w:pPr>
            <w:r>
              <w:rPr>
                <w:sz w:val="18"/>
              </w:rPr>
              <w:t>Funzioni pure condivise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after="80"/>
            </w:pPr>
            <w:r>
              <w:rPr>
                <w:sz w:val="18"/>
              </w:rPr>
              <w:t>vault.mjs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sz w:val="18"/>
              </w:rPr>
              <w:t>Account cifrati, sessioni, backup e cambio password</w:t>
            </w:r>
          </w:p>
        </w:tc>
        <w:tc>
          <w:tcPr>
            <w:tcW w:type="dxa" w:w="4388"/>
          </w:tcPr>
          <w:p>
            <w:pPr>
              <w:spacing w:after="80"/>
            </w:pPr>
            <w:r>
              <w:rPr>
                <w:sz w:val="18"/>
              </w:rPr>
              <w:t>Web Crypto e IndexedDB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after="80"/>
            </w:pPr>
            <w:r>
              <w:rPr>
                <w:sz w:val="18"/>
              </w:rPr>
              <w:t>sw.js / manifest.json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sz w:val="18"/>
              </w:rPr>
              <w:t>Cache offline e installazione web</w:t>
            </w:r>
          </w:p>
        </w:tc>
        <w:tc>
          <w:tcPr>
            <w:tcW w:type="dxa" w:w="4388"/>
          </w:tcPr>
          <w:p>
            <w:pPr>
              <w:spacing w:after="80"/>
            </w:pPr>
            <w:r>
              <w:rPr>
                <w:sz w:val="18"/>
              </w:rPr>
              <w:t>Service Worker e PWA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after="80"/>
            </w:pPr>
            <w:r>
              <w:rPr>
                <w:sz w:val="18"/>
              </w:rPr>
              <w:t>desktop/main.cjs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sz w:val="18"/>
              </w:rPr>
              <w:t>Finestra Windows isolata e protocollo locale</w:t>
            </w:r>
          </w:p>
        </w:tc>
        <w:tc>
          <w:tcPr>
            <w:tcW w:type="dxa" w:w="4388"/>
          </w:tcPr>
          <w:p>
            <w:pPr>
              <w:spacing w:after="80"/>
            </w:pPr>
            <w:r>
              <w:rPr>
                <w:sz w:val="18"/>
              </w:rPr>
              <w:t>Electron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after="80"/>
            </w:pPr>
            <w:r>
              <w:rPr>
                <w:sz w:val="18"/>
              </w:rPr>
              <w:t>MainActivity.java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sz w:val="18"/>
              </w:rPr>
              <w:t>WebView locale, selezione e salvataggio backup</w:t>
            </w:r>
          </w:p>
        </w:tc>
        <w:tc>
          <w:tcPr>
            <w:tcW w:type="dxa" w:w="4388"/>
          </w:tcPr>
          <w:p>
            <w:pPr>
              <w:spacing w:after="80"/>
            </w:pPr>
            <w:r>
              <w:rPr>
                <w:sz w:val="18"/>
              </w:rPr>
              <w:t>AndroidX WebKit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after="80"/>
            </w:pPr>
            <w:r>
              <w:rPr>
                <w:sz w:val="18"/>
              </w:rPr>
              <w:t>server.cjs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sz w:val="18"/>
              </w:rPr>
              <w:t>Server statico locale per sviluppo</w:t>
            </w:r>
          </w:p>
        </w:tc>
        <w:tc>
          <w:tcPr>
            <w:tcW w:type="dxa" w:w="4388"/>
          </w:tcPr>
          <w:p>
            <w:pPr>
              <w:spacing w:after="80"/>
            </w:pPr>
            <w:r>
              <w:rPr>
                <w:sz w:val="18"/>
              </w:rPr>
              <w:t>Node.js, nessun endpoint account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after="80"/>
            </w:pPr>
            <w:r>
              <w:rPr>
                <w:sz w:val="18"/>
              </w:rPr>
              <w:t>Workflow GitHub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sz w:val="18"/>
              </w:rPr>
              <w:t>Verifica, build, checksum, release e Pages</w:t>
            </w:r>
          </w:p>
        </w:tc>
        <w:tc>
          <w:tcPr>
            <w:tcW w:type="dxa" w:w="4388"/>
          </w:tcPr>
          <w:p>
            <w:pPr>
              <w:spacing w:after="80"/>
            </w:pPr>
            <w:r>
              <w:rPr>
                <w:sz w:val="18"/>
              </w:rPr>
              <w:t>GitHub Actions</w:t>
            </w:r>
          </w:p>
        </w:tc>
      </w:tr>
    </w:tbl>
    <w:p/>
    <w:p>
      <w:pPr/>
      <w:r>
        <w:t>Non servono dipendenze JavaScript a runtime nel frontend. Le dipendenze di sviluppo includono Electron, Electron Builder, Playwright e fake-indexeddb. Le dipendenze e i modelli Tesseract sono eliminati. Windows include ancora il runtime Electron, che resta la parte principale delle dimensioni dell’app.</w:t>
      </w:r>
    </w:p>
    <w:p>
      <w:pPr>
        <w:pStyle w:val="Heading2"/>
      </w:pPr>
      <w:r>
        <w:t>6. Archivio e compatibilità</w:t>
      </w:r>
    </w:p>
    <w:p>
      <w:pPr/>
      <w:r>
        <w:t>Le materie hanno id, nome e il campo legacy target. I voti hanno id, subjectId, value, weight, date, type, note. Le impostazioni hanno start, split, end in formato MM-DD. Gli id sono limitati a 64 caratteri alfanumerici/trattini; i nomi materia a 80 caratteri e sono unici ignorando maiuscole e spazi esterni. Le note sono limitate a 160 caratteri. Limiti: 100 materie e 10.000 voti.</w:t>
      </w:r>
    </w:p>
    <w:p>
      <w:pPr/>
      <w:r>
        <w:t>Per compatibilità i dati tasks e target dei vecchi backup vengono ancora validati e conservati cifrati, senza alcuna funzione agenda o simulatore. Questa parte del validatore è intenzionale, non un collegamento a codice OCR rimosso. La compatibilità conserva i vecchi voti decimali non multipli di 0,25; il selettore consente di modificarli senza arrotondarli automaticamente.</w:t>
      </w:r>
    </w:p>
    <w:p>
      <w:pPr/>
      <w:r>
        <w:t>IndexedDB usa il nome registromedia-private-v3, schema 2, store accounts e deviceSession. Il formato cifrato e dei backup resta versione 3: il numero di schema del database è distinto dalla versione del prodotto. I backup 0.3/0.4 restano leggibili. I dati 0.1/0.2 non cifrati non sono importati automaticamente.</w:t>
      </w:r>
    </w:p>
    <w:p>
      <w:pPr/>
      <w:r>
        <w:t>L’applicationId Android, l’appId e protocollo desktop e il percorso dati Windows RegistroMedia sono conservati. Il nome visibile e gli asset diventano Votiva. Gli aggiornamenti Android richiedono comunque una firma compatibile; non disinstallare la vecchia app senza backup.</w:t>
      </w:r>
    </w:p>
    <w:p>
      <w:pPr>
        <w:pStyle w:val="Heading2"/>
      </w:pPr>
      <w:r>
        <w:t>7. Sicurezza e password</w:t>
      </w:r>
    </w:p>
    <w:p>
      <w:pPr/>
      <w:r>
        <w:t>Nome, voti, materie e impostazioni sono cifrati con AES-256-GCM, IV casuale di 96 bit e chiave derivata da password tramite PBKDF2-HMAC-SHA256, 600.000 iterazioni, salt di 128 bit. Versione, username e revisione sono associati all’autenticazione del ciphertext. La chiave è non esportabile. Username e metadati tecnici restano visibili.</w:t>
      </w:r>
    </w:p>
    <w:p>
      <w:pPr/>
      <w:r>
        <w:t>La password originale non viene conservata. Mostra rende leggibile solo il campo che l’utente sta digitando; non recupera un segreto precedente. Il cambio password verifica la password attuale, genera salt e chiave nuovi, ricifra l’account e aggiorna la revisione. I vecchi backup restano cifrati con la password precedente. Le altre finestre ricevono l’uscita dalla sessione tramite BroadcastChannel quando disponibile.</w:t>
      </w:r>
    </w:p>
    <w:p>
      <w:pPr/>
      <w:r>
        <w:t>La sessione persistente conserva sul dispositivo una CryptoKey non esportabile. Chi accede al profilo del dispositivo può aprire l’app fino a Esci. Il blocco del sistema operativo è necessario su dispositivi condivisi. La cifratura non protegge un dispositivo compromesso e non permette il recupero di password dimenticate.</w:t>
      </w:r>
    </w:p>
    <w:p>
      <w:pPr/>
      <w:r>
        <w:t>I salvataggi usano revisioni e transazioni IndexedDB: una finestra rimasta indietro non sovrascrive silenziosamente la revisione più recente. Il ripristino di un backup non unisce i dati e richiede conferma prima della sostituzione di un account omonimo.</w:t>
      </w:r>
    </w:p>
    <w:p>
      <w:pPr/>
      <w:r>
        <w:t>Electron usa sandbox, contextIsolation e nessun nodeIntegration nel renderer; blocca richieste HTTP/HTTPS, finestre esterne, navigazioni e permessi. Android usa un’origine locale HTTPS con allowlist di file, blocca risorse esterne e non richiede il permesso INTERNET. Le interfacce NativeBackup e NativeAppearance controllano origine e frame principale. Non esistono collegamenti esterni al registro scolastico.</w:t>
      </w:r>
    </w:p>
    <w:p>
      <w:pPr/>
      <w:r>
        <w:t>La CSP non consente script inline o eval; non serve più l’eccezione WebAssembly dell’OCR. Il codice inserisce nomi e note come textContent, non HTML interpretato. Non ci sono tracker, pubblicità o invio remoto dei dati dell’account.</w:t>
      </w:r>
    </w:p>
    <w:p>
      <w:pPr>
        <w:pStyle w:val="Heading2"/>
      </w:pPr>
      <w:r>
        <w:t>8. Backup, trasferimento e iPhone</w:t>
      </w:r>
    </w:p>
    <w:p>
      <w:pPr/>
      <w:r>
        <w:t>Esporta backup crea JSON cifrato con formato registromedia-encrypted e versione 3. Il file non contiene la password e richiede quella usata alla creazione. La selezione di un file è esplicita; dimensione massima 5 MB. Su Android il salvataggio usa la finestra documenti di sistema e scrive solo il contenuto cifrato.</w:t>
      </w:r>
    </w:p>
    <w:p>
      <w:pPr/>
      <w:r>
        <w:t>Per trasferire i dati: esporta, trasferisci il file, scegli Ripristina sul secondo dispositivo, digita la password corretta e conferma l’eventuale sostituzione. I dispositivi non si sincronizzano. Mantieni più backup e non affidarti alla sola memoria del browser: Safari e il sistema operativo possono rimuovere dati locali.</w:t>
      </w:r>
    </w:p>
    <w:p>
      <w:pPr/>
      <w:r>
        <w:t>Su iPhone apri il sito in Safari e scegli Condividi → Aggiungi alla schermata Home. Il primo caricamento richiede rete; dopo la cache delle risorse il sito funziona offline. Non si possono installare APK o EXE su iPhone. Non aprire direttamente un file HTML da File perché non offre lo stesso contesto sicuro per cifratura e Service Worker.</w:t>
      </w:r>
    </w:p>
    <w:p>
      <w:pPr/>
      <w:r>
        <w:t>Il repository contiene il workflow Publish iPhone and web app. Il proprietario abilita Settings → Pages → Source GitHub Actions, poi avvia il workflow su main. L’URL è quello del deployment riuscito. Non considerare il sito pubblicato solo perché i sorgenti sono presenti nel repository.</w:t>
      </w:r>
    </w:p>
    <w:p>
      <w:pPr>
        <w:pStyle w:val="Heading2"/>
      </w:pPr>
      <w:r>
        <w:t>9. Avvio, build e distribuzione</w:t>
      </w:r>
    </w:p>
    <w:p>
      <w:pPr/>
      <w:r>
        <w:t>Node.js 24+: npm ci, npm test, npm start; aprire localhost:3000. npm run dist:web copia solo gli asset pubblici in dist/web, senza account o configurazioni segrete. Per test browser installare Chromium Playwright oppure usare CHROMIUM_PATH. npm run desktop avvia Electron; npm run test:desktop verifica inizializzazione, Web Crypto e IndexedDB.</w:t>
      </w:r>
    </w:p>
    <w:p>
      <w:pPr/>
      <w:r>
        <w:t>Windows: Electron Builder genera installer NSIS e archivio ZIP. Android: JDK 21, Gradle 8.11.1, SDK 35, build tools 35.0.0; npm run android:assets ricrea le risorse da zero per non trascinare file OCR vecchi; assembleDebug e lintDebug verificano il progetto.</w:t>
      </w:r>
    </w:p>
    <w:p>
      <w:pPr/>
      <w:r>
        <w:t>Il workflow release parte da un tag v che coincide con package.json. Esegue test unitari e browser, poi costruisce Windows e Android. Pubblica release con checksum solo dopo entrambe le build riuscite. Le versioni pubblicate non vengono sovrascritte. Le build restano senza firma Windows commerciale e con firma Android di sviluppo; la gestione di chiavi di produzione stabili è un’attività futura.</w:t>
      </w:r>
    </w:p>
    <w:p>
      <w:pPr>
        <w:pStyle w:val="Heading2"/>
      </w:pPr>
      <w:r>
        <w:t>10. Verifiche e criteri di accettazione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43"/>
        <w:gridCol w:w="3120"/>
        <w:gridCol w:w="4388"/>
      </w:tblGrid>
      <w:tr>
        <w:trPr>
          <w:tblHeader/>
          <w:cantSplit/>
        </w:trPr>
        <w:tc>
          <w:tcPr>
            <w:tcW w:type="dxa" w:w="2243"/>
            <w:shd w:fill="193B31"/>
          </w:tcPr>
          <w:p>
            <w:pPr>
              <w:spacing w:after="80"/>
            </w:pPr>
            <w:r>
              <w:rPr>
                <w:b/>
                <w:color w:val="FFFFFF"/>
                <w:sz w:val="18"/>
              </w:rPr>
              <w:t>Ambito</w:t>
            </w:r>
          </w:p>
        </w:tc>
        <w:tc>
          <w:tcPr>
            <w:tcW w:type="dxa" w:w="3120"/>
            <w:shd w:fill="193B31"/>
          </w:tcPr>
          <w:p>
            <w:pPr>
              <w:spacing w:after="80"/>
            </w:pPr>
            <w:r>
              <w:rPr>
                <w:b/>
                <w:color w:val="FFFFFF"/>
                <w:sz w:val="18"/>
              </w:rPr>
              <w:t>Evidenza automatica</w:t>
            </w:r>
          </w:p>
        </w:tc>
        <w:tc>
          <w:tcPr>
            <w:tcW w:type="dxa" w:w="4388"/>
            <w:shd w:fill="193B31"/>
          </w:tcPr>
          <w:p>
            <w:pPr>
              <w:spacing w:after="80"/>
            </w:pPr>
            <w:r>
              <w:rPr>
                <w:b/>
                <w:color w:val="FFFFFF"/>
                <w:sz w:val="18"/>
              </w:rPr>
              <w:t>Limite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after="80"/>
            </w:pPr>
            <w:r>
              <w:rPr>
                <w:sz w:val="18"/>
              </w:rPr>
              <w:t>Medie e periodi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sz w:val="18"/>
              </w:rPr>
              <w:t>Test soglie, pesi, date impossibili, confini personalizzati anche a gennaio</w:t>
            </w:r>
          </w:p>
        </w:tc>
        <w:tc>
          <w:tcPr>
            <w:tcW w:type="dxa" w:w="4388"/>
          </w:tcPr>
          <w:p>
            <w:pPr>
              <w:spacing w:after="80"/>
            </w:pPr>
            <w:r>
              <w:rPr>
                <w:sz w:val="18"/>
              </w:rPr>
              <w:t>Non equivalgono alle valutazioni ufficiali della scuola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after="80"/>
            </w:pPr>
            <w:r>
              <w:rPr>
                <w:sz w:val="18"/>
              </w:rPr>
              <w:t>Archivio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sz w:val="18"/>
              </w:rPr>
              <w:t>Cifratura, password errata, manomissione, isolamento, conflitti, migrazione e cambio password</w:t>
            </w:r>
          </w:p>
        </w:tc>
        <w:tc>
          <w:tcPr>
            <w:tcW w:type="dxa" w:w="4388"/>
          </w:tcPr>
          <w:p>
            <w:pPr>
              <w:spacing w:after="80"/>
            </w:pPr>
            <w:r>
              <w:rPr>
                <w:sz w:val="18"/>
              </w:rPr>
              <w:t>Nessun audit indipendente eseguito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after="80"/>
            </w:pPr>
            <w:r>
              <w:rPr>
                <w:sz w:val="18"/>
              </w:rPr>
              <w:t>Interfaccia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sz w:val="18"/>
              </w:rPr>
              <w:t>Creazione account, voti, filtri, percentuali, temi, sessioni, backup, offline</w:t>
            </w:r>
          </w:p>
        </w:tc>
        <w:tc>
          <w:tcPr>
            <w:tcW w:type="dxa" w:w="4388"/>
          </w:tcPr>
          <w:p>
            <w:pPr>
              <w:spacing w:after="80"/>
            </w:pPr>
            <w:r>
              <w:rPr>
                <w:sz w:val="18"/>
              </w:rPr>
              <w:t>Chromium automatizzato; iPhone reale da verificare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after="80"/>
            </w:pPr>
            <w:r>
              <w:rPr>
                <w:sz w:val="18"/>
              </w:rPr>
              <w:t>Layout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sz w:val="18"/>
              </w:rPr>
              <w:t>Otto larghezze, nessun overflow orizzontale, dialoghi nei limiti</w:t>
            </w:r>
          </w:p>
        </w:tc>
        <w:tc>
          <w:tcPr>
            <w:tcW w:type="dxa" w:w="4388"/>
          </w:tcPr>
          <w:p>
            <w:pPr>
              <w:spacing w:after="80"/>
            </w:pPr>
            <w:r>
              <w:rPr>
                <w:sz w:val="18"/>
              </w:rPr>
              <w:t>Zoom e screen reader manuali da verificare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after="80"/>
            </w:pPr>
            <w:r>
              <w:rPr>
                <w:sz w:val="18"/>
              </w:rPr>
              <w:t>Native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sz w:val="18"/>
              </w:rPr>
              <w:t>Workflow desktop startup, build Windows e Android con lint</w:t>
            </w:r>
          </w:p>
        </w:tc>
        <w:tc>
          <w:tcPr>
            <w:tcW w:type="dxa" w:w="4388"/>
          </w:tcPr>
          <w:p>
            <w:pPr>
              <w:spacing w:after="80"/>
            </w:pPr>
            <w:r>
              <w:rPr>
                <w:sz w:val="18"/>
              </w:rPr>
              <w:t>Installazione su dispositivi fisici da verificare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after="80"/>
            </w:pPr>
            <w:r>
              <w:rPr>
                <w:sz w:val="18"/>
              </w:rPr>
              <w:t>Sito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sz w:val="18"/>
              </w:rPr>
              <w:t>Bundle statico pronto, workflow Pages presente</w:t>
            </w:r>
          </w:p>
        </w:tc>
        <w:tc>
          <w:tcPr>
            <w:tcW w:type="dxa" w:w="4388"/>
          </w:tcPr>
          <w:p>
            <w:pPr>
              <w:spacing w:after="80"/>
            </w:pPr>
            <w:r>
              <w:rPr>
                <w:sz w:val="18"/>
              </w:rPr>
              <w:t>Serve Pages abilitato e deployment riuscito</w:t>
            </w:r>
          </w:p>
        </w:tc>
      </w:tr>
    </w:tbl>
    <w:p/>
    <w:p>
      <w:pPr/>
      <w:r>
        <w:t>Una build pronta per il download richiede tutti i job release verdi. La presenza di una configurazione di build non equivale al suo completamento: verificare la pagina Actions per la versione specifica.</w:t>
      </w:r>
    </w:p>
    <w:p>
      <w:pPr>
        <w:pStyle w:val="Heading2"/>
      </w:pPr>
      <w:r>
        <w:t>11. Rischi e manutenzione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43"/>
        <w:gridCol w:w="3120"/>
        <w:gridCol w:w="4388"/>
      </w:tblGrid>
      <w:tr>
        <w:trPr>
          <w:tblHeader/>
          <w:cantSplit/>
        </w:trPr>
        <w:tc>
          <w:tcPr>
            <w:tcW w:type="dxa" w:w="2243"/>
            <w:shd w:fill="193B31"/>
          </w:tcPr>
          <w:p>
            <w:pPr>
              <w:spacing w:after="80"/>
            </w:pPr>
            <w:r>
              <w:rPr>
                <w:b/>
                <w:color w:val="FFFFFF"/>
                <w:sz w:val="18"/>
              </w:rPr>
              <w:t>Rischio</w:t>
            </w:r>
          </w:p>
        </w:tc>
        <w:tc>
          <w:tcPr>
            <w:tcW w:type="dxa" w:w="3120"/>
            <w:shd w:fill="193B31"/>
          </w:tcPr>
          <w:p>
            <w:pPr>
              <w:spacing w:after="80"/>
            </w:pPr>
            <w:r>
              <w:rPr>
                <w:b/>
                <w:color w:val="FFFFFF"/>
                <w:sz w:val="18"/>
              </w:rPr>
              <w:t>Gestione prevista</w:t>
            </w:r>
          </w:p>
        </w:tc>
        <w:tc>
          <w:tcPr>
            <w:tcW w:type="dxa" w:w="4388"/>
            <w:shd w:fill="193B31"/>
          </w:tcPr>
          <w:p>
            <w:pPr>
              <w:spacing w:after="80"/>
            </w:pPr>
            <w:r>
              <w:rPr>
                <w:b/>
                <w:color w:val="FFFFFF"/>
                <w:sz w:val="18"/>
              </w:rPr>
              <w:t>Residuo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after="80"/>
            </w:pPr>
            <w:r>
              <w:rPr>
                <w:sz w:val="18"/>
              </w:rPr>
              <w:t>Perdita archivio locale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sz w:val="18"/>
              </w:rPr>
              <w:t>Backup cifrati periodici e avviso prima della disinstallazione</w:t>
            </w:r>
          </w:p>
        </w:tc>
        <w:tc>
          <w:tcPr>
            <w:tcW w:type="dxa" w:w="4388"/>
          </w:tcPr>
          <w:p>
            <w:pPr>
              <w:spacing w:after="80"/>
            </w:pPr>
            <w:r>
              <w:rPr>
                <w:sz w:val="18"/>
              </w:rPr>
              <w:t>Nessun recupero remoto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after="80"/>
            </w:pPr>
            <w:r>
              <w:rPr>
                <w:sz w:val="18"/>
              </w:rPr>
              <w:t>Password dimenticata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sz w:val="18"/>
              </w:rPr>
              <w:t>Conservazione sicura personale</w:t>
            </w:r>
          </w:p>
        </w:tc>
        <w:tc>
          <w:tcPr>
            <w:tcW w:type="dxa" w:w="4388"/>
          </w:tcPr>
          <w:p>
            <w:pPr>
              <w:spacing w:after="80"/>
            </w:pPr>
            <w:r>
              <w:rPr>
                <w:sz w:val="18"/>
              </w:rPr>
              <w:t>Nessun reset automatico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after="80"/>
            </w:pPr>
            <w:r>
              <w:rPr>
                <w:sz w:val="18"/>
              </w:rPr>
              <w:t>Sessione aperta sul dispositivo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sz w:val="18"/>
              </w:rPr>
              <w:t>Esci e blocco del sistema</w:t>
            </w:r>
          </w:p>
        </w:tc>
        <w:tc>
          <w:tcPr>
            <w:tcW w:type="dxa" w:w="4388"/>
          </w:tcPr>
          <w:p>
            <w:pPr>
              <w:spacing w:after="80"/>
            </w:pPr>
            <w:r>
              <w:rPr>
                <w:sz w:val="18"/>
              </w:rPr>
              <w:t>Accesso possibile finché la sessione resta attiva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after="80"/>
            </w:pPr>
            <w:r>
              <w:rPr>
                <w:sz w:val="18"/>
              </w:rPr>
              <w:t>Firma APK diversa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sz w:val="18"/>
              </w:rPr>
              <w:t>Backup prima di reinstallare</w:t>
            </w:r>
          </w:p>
        </w:tc>
        <w:tc>
          <w:tcPr>
            <w:tcW w:type="dxa" w:w="4388"/>
          </w:tcPr>
          <w:p>
            <w:pPr>
              <w:spacing w:after="80"/>
            </w:pPr>
            <w:r>
              <w:rPr>
                <w:sz w:val="18"/>
              </w:rPr>
              <w:t>Aggiornamento diretto non sempre possibile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after="80"/>
            </w:pPr>
            <w:r>
              <w:rPr>
                <w:sz w:val="18"/>
              </w:rPr>
              <w:t>Incompatibilità iOS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sz w:val="18"/>
              </w:rPr>
              <w:t>PWA con asset locali e guida Safari</w:t>
            </w:r>
          </w:p>
        </w:tc>
        <w:tc>
          <w:tcPr>
            <w:tcW w:type="dxa" w:w="4388"/>
          </w:tcPr>
          <w:p>
            <w:pPr>
              <w:spacing w:after="80"/>
            </w:pPr>
            <w:r>
              <w:rPr>
                <w:sz w:val="18"/>
              </w:rPr>
              <w:t>Test fisico ancora necessario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after="80"/>
            </w:pPr>
            <w:r>
              <w:rPr>
                <w:sz w:val="18"/>
              </w:rPr>
              <w:t>Regressioni future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sz w:val="18"/>
              </w:rPr>
              <w:t>Test e release nuova senza sovrascrivere asset</w:t>
            </w:r>
          </w:p>
        </w:tc>
        <w:tc>
          <w:tcPr>
            <w:tcW w:type="dxa" w:w="4388"/>
          </w:tcPr>
          <w:p>
            <w:pPr>
              <w:spacing w:after="80"/>
            </w:pPr>
            <w:r>
              <w:rPr>
                <w:sz w:val="18"/>
              </w:rPr>
              <w:t>Zero bug non dimostrabile</w:t>
            </w:r>
          </w:p>
        </w:tc>
      </w:tr>
      <w:tr>
        <w:trPr>
          <w:cantSplit/>
        </w:trPr>
        <w:tc>
          <w:tcPr>
            <w:tcW w:type="dxa" w:w="2243"/>
          </w:tcPr>
          <w:p>
            <w:pPr>
              <w:spacing w:after="80"/>
            </w:pPr>
            <w:r>
              <w:rPr>
                <w:sz w:val="18"/>
              </w:rPr>
              <w:t>Licenza</w:t>
            </w:r>
          </w:p>
        </w:tc>
        <w:tc>
          <w:tcPr>
            <w:tcW w:type="dxa" w:w="3120"/>
          </w:tcPr>
          <w:p>
            <w:pPr>
              <w:spacing w:after="80"/>
            </w:pPr>
            <w:r>
              <w:rPr>
                <w:sz w:val="18"/>
              </w:rPr>
              <w:t>package.json rimane UNLICENSED</w:t>
            </w:r>
          </w:p>
        </w:tc>
        <w:tc>
          <w:tcPr>
            <w:tcW w:type="dxa" w:w="4388"/>
          </w:tcPr>
          <w:p>
            <w:pPr>
              <w:spacing w:after="80"/>
            </w:pPr>
            <w:r>
              <w:rPr>
                <w:sz w:val="18"/>
              </w:rPr>
              <w:t>Repository pubblico non significa licenza open source</w:t>
            </w:r>
          </w:p>
        </w:tc>
      </w:tr>
    </w:tbl>
    <w:p/>
    <w:p>
      <w:pPr/>
      <w:r>
        <w:t>Ruoli nella WBS sono responsabilità proposte, non un team o un calendario già assegnato. Costi e tempi non sono inventati. Le verifiche su dispositivi reali, accessibilità assistiva, revisione sicurezza e firme di produzione restano attività distinte dalle funzioni già implementate.</w:t>
      </w:r>
    </w:p>
    <w:p>
      <w:r>
        <w:br w:type="page"/>
      </w:r>
    </w:p>
    <w:p>
      <w:pPr>
        <w:pStyle w:val="Heading1"/>
      </w:pPr>
      <w:r>
        <w:t>Votiva — Work Breakdown Structure</w:t>
      </w:r>
    </w:p>
    <w:p>
      <w:pPr/>
      <w:r>
        <w:t>Documento 2.0 · 30 ottobre 2026 · software 1.0.0. Sostituisce la WBS 0.4; le funzionalità ritirate non sono più deliverable del prodotto.</w:t>
      </w:r>
    </w:p>
    <w:p>
      <w:pPr/>
      <w:r>
        <w:t>24 pacchetti: R = realizzato nel codice e nei controlli indicati; V = verifica o attivazione ancora necessaria; P = attività futura. I ruoli sono proposti; non sono stime di costo, assegnazioni o date inventate. La realizzazione della pipeline non prova che una specifica release sia già pubblicata.</w:t>
      </w:r>
    </w:p>
    <w:p>
      <w:pPr>
        <w:pStyle w:val="Heading2"/>
      </w:pPr>
      <w:r>
        <w:t>Prodotto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6728"/>
        <w:gridCol w:w="1463"/>
      </w:tblGrid>
      <w:tr>
        <w:trPr>
          <w:tblHeader/>
          <w:cantSplit/>
        </w:trPr>
        <w:tc>
          <w:tcPr>
            <w:tcW w:type="dxa" w:w="1560"/>
            <w:shd w:fill="193B31"/>
          </w:tcPr>
          <w:p>
            <w:pPr>
              <w:spacing w:after="8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728"/>
            <w:shd w:fill="193B31"/>
          </w:tcPr>
          <w:p>
            <w:pPr>
              <w:spacing w:after="80"/>
            </w:pPr>
            <w:r>
              <w:rPr>
                <w:b/>
                <w:color w:val="FFFFFF"/>
                <w:sz w:val="18"/>
              </w:rPr>
              <w:t>Deliverable e accettazione</w:t>
            </w:r>
          </w:p>
        </w:tc>
        <w:tc>
          <w:tcPr>
            <w:tcW w:type="dxa" w:w="1463"/>
            <w:shd w:fill="193B31"/>
          </w:tcPr>
          <w:p>
            <w:pPr>
              <w:spacing w:after="80"/>
            </w:pPr>
            <w:r>
              <w:rPr>
                <w:b/>
                <w:color w:val="FFFFFF"/>
                <w:sz w:val="18"/>
              </w:rPr>
              <w:t>Stato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spacing w:after="80"/>
            </w:pPr>
            <w:r>
              <w:rPr>
                <w:sz w:val="18"/>
              </w:rPr>
              <w:t>1.1</w:t>
            </w:r>
          </w:p>
        </w:tc>
        <w:tc>
          <w:tcPr>
            <w:tcW w:type="dxa" w:w="6728"/>
          </w:tcPr>
          <w:p>
            <w:pPr>
              <w:spacing w:after="80"/>
            </w:pPr>
            <w:r>
              <w:rPr>
                <w:sz w:val="18"/>
              </w:rPr>
              <w:t>Perimetro semplificato — Solo registro voti e medie; funzionalità ritirate escluse. Responsabile proposto: Product owner. Evidenza: README.md.</w:t>
            </w:r>
          </w:p>
        </w:tc>
        <w:tc>
          <w:tcPr>
            <w:tcW w:type="dxa" w:w="1463"/>
          </w:tcPr>
          <w:p>
            <w:pPr>
              <w:spacing w:after="80"/>
            </w:pPr>
            <w:r>
              <w:rPr>
                <w:sz w:val="18"/>
              </w:rPr>
              <w:t>R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spacing w:after="80"/>
            </w:pPr>
            <w:r>
              <w:rPr>
                <w:sz w:val="18"/>
              </w:rPr>
              <w:t>1.2</w:t>
            </w:r>
          </w:p>
        </w:tc>
        <w:tc>
          <w:tcPr>
            <w:tcW w:type="dxa" w:w="6728"/>
          </w:tcPr>
          <w:p>
            <w:pPr>
              <w:spacing w:after="80"/>
            </w:pPr>
            <w:r>
              <w:rPr>
                <w:sz w:val="18"/>
              </w:rPr>
              <w:t>Documentazione e WBS aggiornate — Stati e limiti distinguono implementazione da verifica fisica. Responsabile proposto: Analista. Evidenza: docs/PROJECT-DOCUMENTATION.md.</w:t>
            </w:r>
          </w:p>
        </w:tc>
        <w:tc>
          <w:tcPr>
            <w:tcW w:type="dxa" w:w="1463"/>
          </w:tcPr>
          <w:p>
            <w:pPr>
              <w:spacing w:after="80"/>
            </w:pPr>
            <w:r>
              <w:rPr>
                <w:sz w:val="18"/>
              </w:rPr>
              <w:t>R</w:t>
            </w:r>
          </w:p>
        </w:tc>
      </w:tr>
    </w:tbl>
    <w:p/>
    <w:p>
      <w:pPr>
        <w:pStyle w:val="Heading2"/>
      </w:pPr>
      <w:r>
        <w:t>Design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6728"/>
        <w:gridCol w:w="1463"/>
      </w:tblGrid>
      <w:tr>
        <w:trPr>
          <w:tblHeader/>
          <w:cantSplit/>
        </w:trPr>
        <w:tc>
          <w:tcPr>
            <w:tcW w:type="dxa" w:w="1560"/>
            <w:shd w:fill="193B31"/>
          </w:tcPr>
          <w:p>
            <w:pPr>
              <w:spacing w:after="8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728"/>
            <w:shd w:fill="193B31"/>
          </w:tcPr>
          <w:p>
            <w:pPr>
              <w:spacing w:after="80"/>
            </w:pPr>
            <w:r>
              <w:rPr>
                <w:b/>
                <w:color w:val="FFFFFF"/>
                <w:sz w:val="18"/>
              </w:rPr>
              <w:t>Deliverable e accettazione</w:t>
            </w:r>
          </w:p>
        </w:tc>
        <w:tc>
          <w:tcPr>
            <w:tcW w:type="dxa" w:w="1463"/>
            <w:shd w:fill="193B31"/>
          </w:tcPr>
          <w:p>
            <w:pPr>
              <w:spacing w:after="80"/>
            </w:pPr>
            <w:r>
              <w:rPr>
                <w:b/>
                <w:color w:val="FFFFFF"/>
                <w:sz w:val="18"/>
              </w:rPr>
              <w:t>Stato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spacing w:after="80"/>
            </w:pPr>
            <w:r>
              <w:rPr>
                <w:sz w:val="18"/>
              </w:rPr>
              <w:t>2.1</w:t>
            </w:r>
          </w:p>
        </w:tc>
        <w:tc>
          <w:tcPr>
            <w:tcW w:type="dxa" w:w="6728"/>
          </w:tcPr>
          <w:p>
            <w:pPr>
              <w:spacing w:after="80"/>
            </w:pPr>
            <w:r>
              <w:rPr>
                <w:sz w:val="18"/>
              </w:rPr>
              <w:t>Identità Votiva — Nome e logo coerenti su web e wrapper. Responsabile proposto: Designer. Evidenza: icon.svg.</w:t>
            </w:r>
          </w:p>
        </w:tc>
        <w:tc>
          <w:tcPr>
            <w:tcW w:type="dxa" w:w="1463"/>
          </w:tcPr>
          <w:p>
            <w:pPr>
              <w:spacing w:after="80"/>
            </w:pPr>
            <w:r>
              <w:rPr>
                <w:sz w:val="18"/>
              </w:rPr>
              <w:t>R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spacing w:after="80"/>
            </w:pPr>
            <w:r>
              <w:rPr>
                <w:sz w:val="18"/>
              </w:rPr>
              <w:t>2.2</w:t>
            </w:r>
          </w:p>
        </w:tc>
        <w:tc>
          <w:tcPr>
            <w:tcW w:type="dxa" w:w="6728"/>
          </w:tcPr>
          <w:p>
            <w:pPr>
              <w:spacing w:after="80"/>
            </w:pPr>
            <w:r>
              <w:rPr>
                <w:sz w:val="18"/>
              </w:rPr>
              <w:t>Layout responsive — Nessun overflow a otto larghezze da 320 a 1920. Responsabile proposto: Frontend. Evidenza: scripts/ui-smoke.cjs.</w:t>
            </w:r>
          </w:p>
        </w:tc>
        <w:tc>
          <w:tcPr>
            <w:tcW w:type="dxa" w:w="1463"/>
          </w:tcPr>
          <w:p>
            <w:pPr>
              <w:spacing w:after="80"/>
            </w:pPr>
            <w:r>
              <w:rPr>
                <w:sz w:val="18"/>
              </w:rPr>
              <w:t>R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spacing w:after="80"/>
            </w:pPr>
            <w:r>
              <w:rPr>
                <w:sz w:val="18"/>
              </w:rPr>
              <w:t>2.3</w:t>
            </w:r>
          </w:p>
        </w:tc>
        <w:tc>
          <w:tcPr>
            <w:tcW w:type="dxa" w:w="6728"/>
          </w:tcPr>
          <w:p>
            <w:pPr>
              <w:spacing w:after="80"/>
            </w:pPr>
            <w:r>
              <w:rPr>
                <w:sz w:val="18"/>
              </w:rPr>
              <w:t>Temi e soglie — Chiaro/scuro/automatico e rosso/verde con testo. Responsabile proposto: Frontend. Evidenza: style.css.</w:t>
            </w:r>
          </w:p>
        </w:tc>
        <w:tc>
          <w:tcPr>
            <w:tcW w:type="dxa" w:w="1463"/>
          </w:tcPr>
          <w:p>
            <w:pPr>
              <w:spacing w:after="80"/>
            </w:pPr>
            <w:r>
              <w:rPr>
                <w:sz w:val="18"/>
              </w:rPr>
              <w:t>R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spacing w:after="80"/>
            </w:pPr>
            <w:r>
              <w:rPr>
                <w:sz w:val="18"/>
              </w:rPr>
              <w:t>2.4</w:t>
            </w:r>
          </w:p>
        </w:tc>
        <w:tc>
          <w:tcPr>
            <w:tcW w:type="dxa" w:w="6728"/>
          </w:tcPr>
          <w:p>
            <w:pPr>
              <w:spacing w:after="80"/>
            </w:pPr>
            <w:r>
              <w:rPr>
                <w:sz w:val="18"/>
              </w:rPr>
              <w:t>Accessibilità assistiva — Verifica VoiceOver, TalkBack, zoom e orientamento. Responsabile proposto: QA accessibilità. Evidenza: Collaudo manuale da eseguire.</w:t>
            </w:r>
          </w:p>
        </w:tc>
        <w:tc>
          <w:tcPr>
            <w:tcW w:type="dxa" w:w="1463"/>
          </w:tcPr>
          <w:p>
            <w:pPr>
              <w:spacing w:after="80"/>
            </w:pPr>
            <w:r>
              <w:rPr>
                <w:sz w:val="18"/>
              </w:rPr>
              <w:t>V</w:t>
            </w:r>
          </w:p>
        </w:tc>
      </w:tr>
    </w:tbl>
    <w:p/>
    <w:p>
      <w:pPr>
        <w:pStyle w:val="Heading2"/>
      </w:pPr>
      <w: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6728"/>
        <w:gridCol w:w="1463"/>
      </w:tblGrid>
      <w:tr>
        <w:trPr>
          <w:tblHeader/>
          <w:cantSplit/>
        </w:trPr>
        <w:tc>
          <w:tcPr>
            <w:tcW w:type="dxa" w:w="1560"/>
            <w:shd w:fill="193B31"/>
          </w:tcPr>
          <w:p>
            <w:pPr>
              <w:spacing w:after="8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728"/>
            <w:shd w:fill="193B31"/>
          </w:tcPr>
          <w:p>
            <w:pPr>
              <w:spacing w:after="80"/>
            </w:pPr>
            <w:r>
              <w:rPr>
                <w:b/>
                <w:color w:val="FFFFFF"/>
                <w:sz w:val="18"/>
              </w:rPr>
              <w:t>Deliverable e accettazione</w:t>
            </w:r>
          </w:p>
        </w:tc>
        <w:tc>
          <w:tcPr>
            <w:tcW w:type="dxa" w:w="1463"/>
            <w:shd w:fill="193B31"/>
          </w:tcPr>
          <w:p>
            <w:pPr>
              <w:spacing w:after="80"/>
            </w:pPr>
            <w:r>
              <w:rPr>
                <w:b/>
                <w:color w:val="FFFFFF"/>
                <w:sz w:val="18"/>
              </w:rPr>
              <w:t>Stato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spacing w:after="80"/>
            </w:pPr>
            <w:r>
              <w:rPr>
                <w:sz w:val="18"/>
              </w:rPr>
              <w:t>3.1</w:t>
            </w:r>
          </w:p>
        </w:tc>
        <w:tc>
          <w:tcPr>
            <w:tcW w:type="dxa" w:w="6728"/>
          </w:tcPr>
          <w:p>
            <w:pPr>
              <w:spacing w:after="80"/>
            </w:pPr>
            <w:r>
              <w:rPr>
                <w:sz w:val="18"/>
              </w:rPr>
              <w:t>Materie predefinite e CRUD — Dieci materie nei nuovi account; modifica ed eliminazione. Responsabile proposto: Frontend. Evidenza: vault.mjs / app.mjs.</w:t>
            </w:r>
          </w:p>
        </w:tc>
        <w:tc>
          <w:tcPr>
            <w:tcW w:type="dxa" w:w="1463"/>
          </w:tcPr>
          <w:p>
            <w:pPr>
              <w:spacing w:after="80"/>
            </w:pPr>
            <w:r>
              <w:rPr>
                <w:sz w:val="18"/>
              </w:rPr>
              <w:t>R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spacing w:after="80"/>
            </w:pPr>
            <w:r>
              <w:rPr>
                <w:sz w:val="18"/>
              </w:rPr>
              <w:t>3.2</w:t>
            </w:r>
          </w:p>
        </w:tc>
        <w:tc>
          <w:tcPr>
            <w:tcW w:type="dxa" w:w="6728"/>
          </w:tcPr>
          <w:p>
            <w:pPr>
              <w:spacing w:after="80"/>
            </w:pPr>
            <w:r>
              <w:rPr>
                <w:sz w:val="18"/>
              </w:rPr>
              <w:t>Voti a quarti — Scelta da 0,25 a 10; modifica senza perdita dei vecchi decimali. Responsabile proposto: Frontend. Evidenza: app.mjs.</w:t>
            </w:r>
          </w:p>
        </w:tc>
        <w:tc>
          <w:tcPr>
            <w:tcW w:type="dxa" w:w="1463"/>
          </w:tcPr>
          <w:p>
            <w:pPr>
              <w:spacing w:after="80"/>
            </w:pPr>
            <w:r>
              <w:rPr>
                <w:sz w:val="18"/>
              </w:rPr>
              <w:t>R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spacing w:after="80"/>
            </w:pPr>
            <w:r>
              <w:rPr>
                <w:sz w:val="18"/>
              </w:rPr>
              <w:t>3.3</w:t>
            </w:r>
          </w:p>
        </w:tc>
        <w:tc>
          <w:tcPr>
            <w:tcW w:type="dxa" w:w="6728"/>
          </w:tcPr>
          <w:p>
            <w:pPr>
              <w:spacing w:after="80"/>
            </w:pPr>
            <w:r>
              <w:rPr>
                <w:sz w:val="18"/>
              </w:rPr>
              <w:t>Calcolo medie e percentuali — Pesi, materie senza voti e denominatori verificati. Responsabile proposto: Sviluppatore. Evidenza: tests/model.test.mjs.</w:t>
            </w:r>
          </w:p>
        </w:tc>
        <w:tc>
          <w:tcPr>
            <w:tcW w:type="dxa" w:w="1463"/>
          </w:tcPr>
          <w:p>
            <w:pPr>
              <w:spacing w:after="80"/>
            </w:pPr>
            <w:r>
              <w:rPr>
                <w:sz w:val="18"/>
              </w:rPr>
              <w:t>R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spacing w:after="80"/>
            </w:pPr>
            <w:r>
              <w:rPr>
                <w:sz w:val="18"/>
              </w:rPr>
              <w:t>3.4</w:t>
            </w:r>
          </w:p>
        </w:tc>
        <w:tc>
          <w:tcPr>
            <w:tcW w:type="dxa" w:w="6728"/>
          </w:tcPr>
          <w:p>
            <w:pPr>
              <w:spacing w:after="80"/>
            </w:pPr>
            <w:r>
              <w:rPr>
                <w:sz w:val="18"/>
              </w:rPr>
              <w:t>Periodi configurabili — Date coerenti e inclusività dei confini, trimestre anche a gennaio. Responsabile proposto: Sviluppatore. Evidenza: model.mjs.</w:t>
            </w:r>
          </w:p>
        </w:tc>
        <w:tc>
          <w:tcPr>
            <w:tcW w:type="dxa" w:w="1463"/>
          </w:tcPr>
          <w:p>
            <w:pPr>
              <w:spacing w:after="80"/>
            </w:pPr>
            <w:r>
              <w:rPr>
                <w:sz w:val="18"/>
              </w:rPr>
              <w:t>R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spacing w:after="80"/>
            </w:pPr>
            <w:r>
              <w:rPr>
                <w:sz w:val="18"/>
              </w:rPr>
              <w:t>3.5</w:t>
            </w:r>
          </w:p>
        </w:tc>
        <w:tc>
          <w:tcPr>
            <w:tcW w:type="dxa" w:w="6728"/>
          </w:tcPr>
          <w:p>
            <w:pPr>
              <w:spacing w:after="80"/>
            </w:pPr>
            <w:r>
              <w:rPr>
                <w:sz w:val="18"/>
              </w:rPr>
              <w:t>Grafico e filtri — Medie per materia e filtro anno/periodo/materia coerenti. Responsabile proposto: Frontend. Evidenza: scripts/ui-smoke.cjs.</w:t>
            </w:r>
          </w:p>
        </w:tc>
        <w:tc>
          <w:tcPr>
            <w:tcW w:type="dxa" w:w="1463"/>
          </w:tcPr>
          <w:p>
            <w:pPr>
              <w:spacing w:after="80"/>
            </w:pPr>
            <w:r>
              <w:rPr>
                <w:sz w:val="18"/>
              </w:rPr>
              <w:t>R</w:t>
            </w:r>
          </w:p>
        </w:tc>
      </w:tr>
    </w:tbl>
    <w:p/>
    <w:p>
      <w:pPr>
        <w:pStyle w:val="Heading2"/>
      </w:pPr>
      <w:r>
        <w:t>Account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6728"/>
        <w:gridCol w:w="1463"/>
      </w:tblGrid>
      <w:tr>
        <w:trPr>
          <w:tblHeader/>
          <w:cantSplit/>
        </w:trPr>
        <w:tc>
          <w:tcPr>
            <w:tcW w:type="dxa" w:w="1560"/>
            <w:shd w:fill="193B31"/>
          </w:tcPr>
          <w:p>
            <w:pPr>
              <w:spacing w:after="8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728"/>
            <w:shd w:fill="193B31"/>
          </w:tcPr>
          <w:p>
            <w:pPr>
              <w:spacing w:after="80"/>
            </w:pPr>
            <w:r>
              <w:rPr>
                <w:b/>
                <w:color w:val="FFFFFF"/>
                <w:sz w:val="18"/>
              </w:rPr>
              <w:t>Deliverable e accettazione</w:t>
            </w:r>
          </w:p>
        </w:tc>
        <w:tc>
          <w:tcPr>
            <w:tcW w:type="dxa" w:w="1463"/>
            <w:shd w:fill="193B31"/>
          </w:tcPr>
          <w:p>
            <w:pPr>
              <w:spacing w:after="80"/>
            </w:pPr>
            <w:r>
              <w:rPr>
                <w:b/>
                <w:color w:val="FFFFFF"/>
                <w:sz w:val="18"/>
              </w:rPr>
              <w:t>Stato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spacing w:after="80"/>
            </w:pPr>
            <w:r>
              <w:rPr>
                <w:sz w:val="18"/>
              </w:rPr>
              <w:t>4.1</w:t>
            </w:r>
          </w:p>
        </w:tc>
        <w:tc>
          <w:tcPr>
            <w:tcW w:type="dxa" w:w="6728"/>
          </w:tcPr>
          <w:p>
            <w:pPr>
              <w:spacing w:after="80"/>
            </w:pPr>
            <w:r>
              <w:rPr>
                <w:sz w:val="18"/>
              </w:rPr>
              <w:t>Cifratura e sessioni — Isolamento, persistenza, Esci, conflitti e manomissioni verificati. Responsabile proposto: Sviluppatore. Evidenza: tests/vault.test.mjs.</w:t>
            </w:r>
          </w:p>
        </w:tc>
        <w:tc>
          <w:tcPr>
            <w:tcW w:type="dxa" w:w="1463"/>
          </w:tcPr>
          <w:p>
            <w:pPr>
              <w:spacing w:after="80"/>
            </w:pPr>
            <w:r>
              <w:rPr>
                <w:sz w:val="18"/>
              </w:rPr>
              <w:t>R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spacing w:after="80"/>
            </w:pPr>
            <w:r>
              <w:rPr>
                <w:sz w:val="18"/>
              </w:rPr>
              <w:t>4.2</w:t>
            </w:r>
          </w:p>
        </w:tc>
        <w:tc>
          <w:tcPr>
            <w:tcW w:type="dxa" w:w="6728"/>
          </w:tcPr>
          <w:p>
            <w:pPr>
              <w:spacing w:after="80"/>
            </w:pPr>
            <w:r>
              <w:rPr>
                <w:sz w:val="18"/>
              </w:rPr>
              <w:t>Mostra e cambia password — Nessuna password conservata; ricifratura e vecchi backup compatibili. Responsabile proposto: Sviluppatore. Evidenza: vault.mjs.</w:t>
            </w:r>
          </w:p>
        </w:tc>
        <w:tc>
          <w:tcPr>
            <w:tcW w:type="dxa" w:w="1463"/>
          </w:tcPr>
          <w:p>
            <w:pPr>
              <w:spacing w:after="80"/>
            </w:pPr>
            <w:r>
              <w:rPr>
                <w:sz w:val="18"/>
              </w:rPr>
              <w:t>R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spacing w:after="80"/>
            </w:pPr>
            <w:r>
              <w:rPr>
                <w:sz w:val="18"/>
              </w:rPr>
              <w:t>4.3</w:t>
            </w:r>
          </w:p>
        </w:tc>
        <w:tc>
          <w:tcPr>
            <w:tcW w:type="dxa" w:w="6728"/>
          </w:tcPr>
          <w:p>
            <w:pPr>
              <w:spacing w:after="80"/>
            </w:pPr>
            <w:r>
              <w:rPr>
                <w:sz w:val="18"/>
              </w:rPr>
              <w:t>Backup e migrazione — Ripristino password, formato 3, dati precedenti conservati. Responsabile proposto: Sviluppatore. Evidenza: tests/vault-migration.test.mjs.</w:t>
            </w:r>
          </w:p>
        </w:tc>
        <w:tc>
          <w:tcPr>
            <w:tcW w:type="dxa" w:w="1463"/>
          </w:tcPr>
          <w:p>
            <w:pPr>
              <w:spacing w:after="80"/>
            </w:pPr>
            <w:r>
              <w:rPr>
                <w:sz w:val="18"/>
              </w:rPr>
              <w:t>R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spacing w:after="80"/>
            </w:pPr>
            <w:r>
              <w:rPr>
                <w:sz w:val="18"/>
              </w:rPr>
              <w:t>4.4</w:t>
            </w:r>
          </w:p>
        </w:tc>
        <w:tc>
          <w:tcPr>
            <w:tcW w:type="dxa" w:w="6728"/>
          </w:tcPr>
          <w:p>
            <w:pPr>
              <w:spacing w:after="80"/>
            </w:pPr>
            <w:r>
              <w:rPr>
                <w:sz w:val="18"/>
              </w:rPr>
              <w:t>Revisione sicurezza — Audit indipendente e analisi del dispositivo compromesso. Responsabile proposto: Security reviewer. Evidenza: Revisione esterna da pianificare.</w:t>
            </w:r>
          </w:p>
        </w:tc>
        <w:tc>
          <w:tcPr>
            <w:tcW w:type="dxa" w:w="1463"/>
          </w:tcPr>
          <w:p>
            <w:pPr>
              <w:spacing w:after="80"/>
            </w:pPr>
            <w:r>
              <w:rPr>
                <w:sz w:val="18"/>
              </w:rPr>
              <w:t>P</w:t>
            </w:r>
          </w:p>
        </w:tc>
      </w:tr>
    </w:tbl>
    <w:p/>
    <w:p>
      <w:pPr>
        <w:pStyle w:val="Heading2"/>
      </w:pPr>
      <w:r>
        <w:t>Piattaforme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6728"/>
        <w:gridCol w:w="1463"/>
      </w:tblGrid>
      <w:tr>
        <w:trPr>
          <w:tblHeader/>
          <w:cantSplit/>
        </w:trPr>
        <w:tc>
          <w:tcPr>
            <w:tcW w:type="dxa" w:w="1560"/>
            <w:shd w:fill="193B31"/>
          </w:tcPr>
          <w:p>
            <w:pPr>
              <w:spacing w:after="8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728"/>
            <w:shd w:fill="193B31"/>
          </w:tcPr>
          <w:p>
            <w:pPr>
              <w:spacing w:after="80"/>
            </w:pPr>
            <w:r>
              <w:rPr>
                <w:b/>
                <w:color w:val="FFFFFF"/>
                <w:sz w:val="18"/>
              </w:rPr>
              <w:t>Deliverable e accettazione</w:t>
            </w:r>
          </w:p>
        </w:tc>
        <w:tc>
          <w:tcPr>
            <w:tcW w:type="dxa" w:w="1463"/>
            <w:shd w:fill="193B31"/>
          </w:tcPr>
          <w:p>
            <w:pPr>
              <w:spacing w:after="80"/>
            </w:pPr>
            <w:r>
              <w:rPr>
                <w:b/>
                <w:color w:val="FFFFFF"/>
                <w:sz w:val="18"/>
              </w:rPr>
              <w:t>Stato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spacing w:after="80"/>
            </w:pPr>
            <w:r>
              <w:rPr>
                <w:sz w:val="18"/>
              </w:rPr>
              <w:t>5.1</w:t>
            </w:r>
          </w:p>
        </w:tc>
        <w:tc>
          <w:tcPr>
            <w:tcW w:type="dxa" w:w="6728"/>
          </w:tcPr>
          <w:p>
            <w:pPr>
              <w:spacing w:after="80"/>
            </w:pPr>
            <w:r>
              <w:rPr>
                <w:sz w:val="18"/>
              </w:rPr>
              <w:t>Windows — Protocollo locale isolato e pacchetto installabile via CI. Responsabile proposto: Build engineer. Evidenza: desktop/main.cjs / release.yml.</w:t>
            </w:r>
          </w:p>
        </w:tc>
        <w:tc>
          <w:tcPr>
            <w:tcW w:type="dxa" w:w="1463"/>
          </w:tcPr>
          <w:p>
            <w:pPr>
              <w:spacing w:after="80"/>
            </w:pPr>
            <w:r>
              <w:rPr>
                <w:sz w:val="18"/>
              </w:rPr>
              <w:t>R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spacing w:after="80"/>
            </w:pPr>
            <w:r>
              <w:rPr>
                <w:sz w:val="18"/>
              </w:rPr>
              <w:t>5.2</w:t>
            </w:r>
          </w:p>
        </w:tc>
        <w:tc>
          <w:tcPr>
            <w:tcW w:type="dxa" w:w="6728"/>
          </w:tcPr>
          <w:p>
            <w:pPr>
              <w:spacing w:after="80"/>
            </w:pPr>
            <w:r>
              <w:rPr>
                <w:sz w:val="18"/>
              </w:rPr>
              <w:t>Android — WebView offline e backup nativo; niente permesso INTERNET. Responsabile proposto: Android developer. Evidenza: MainActivity.java.</w:t>
            </w:r>
          </w:p>
        </w:tc>
        <w:tc>
          <w:tcPr>
            <w:tcW w:type="dxa" w:w="1463"/>
          </w:tcPr>
          <w:p>
            <w:pPr>
              <w:spacing w:after="80"/>
            </w:pPr>
            <w:r>
              <w:rPr>
                <w:sz w:val="18"/>
              </w:rPr>
              <w:t>R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spacing w:after="80"/>
            </w:pPr>
            <w:r>
              <w:rPr>
                <w:sz w:val="18"/>
              </w:rPr>
              <w:t>5.3</w:t>
            </w:r>
          </w:p>
        </w:tc>
        <w:tc>
          <w:tcPr>
            <w:tcW w:type="dxa" w:w="6728"/>
          </w:tcPr>
          <w:p>
            <w:pPr>
              <w:spacing w:after="80"/>
            </w:pPr>
            <w:r>
              <w:rPr>
                <w:sz w:val="18"/>
              </w:rPr>
              <w:t>iPhone e sito — Bundle PWA e istruzioni per Safari / Pages. Responsabile proposto: Frontend. Evidenza: manifest.json / web.yml.</w:t>
            </w:r>
          </w:p>
        </w:tc>
        <w:tc>
          <w:tcPr>
            <w:tcW w:type="dxa" w:w="1463"/>
          </w:tcPr>
          <w:p>
            <w:pPr>
              <w:spacing w:after="80"/>
            </w:pPr>
            <w:r>
              <w:rPr>
                <w:sz w:val="18"/>
              </w:rPr>
              <w:t>R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spacing w:after="80"/>
            </w:pPr>
            <w:r>
              <w:rPr>
                <w:sz w:val="18"/>
              </w:rPr>
              <w:t>5.4</w:t>
            </w:r>
          </w:p>
        </w:tc>
        <w:tc>
          <w:tcPr>
            <w:tcW w:type="dxa" w:w="6728"/>
          </w:tcPr>
          <w:p>
            <w:pPr>
              <w:spacing w:after="80"/>
            </w:pPr>
            <w:r>
              <w:rPr>
                <w:sz w:val="18"/>
              </w:rPr>
              <w:t>Collaudo fisico — Installare e provare Windows, Android e iPhone reali. Responsabile proposto: QA. Evidenza: Matrice dispositivi da completare.</w:t>
            </w:r>
          </w:p>
        </w:tc>
        <w:tc>
          <w:tcPr>
            <w:tcW w:type="dxa" w:w="1463"/>
          </w:tcPr>
          <w:p>
            <w:pPr>
              <w:spacing w:after="80"/>
            </w:pPr>
            <w:r>
              <w:rPr>
                <w:sz w:val="18"/>
              </w:rPr>
              <w:t>V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spacing w:after="80"/>
            </w:pPr>
            <w:r>
              <w:rPr>
                <w:sz w:val="18"/>
              </w:rPr>
              <w:t>5.5</w:t>
            </w:r>
          </w:p>
        </w:tc>
        <w:tc>
          <w:tcPr>
            <w:tcW w:type="dxa" w:w="6728"/>
          </w:tcPr>
          <w:p>
            <w:pPr>
              <w:spacing w:after="80"/>
            </w:pPr>
            <w:r>
              <w:rPr>
                <w:sz w:val="18"/>
              </w:rPr>
              <w:t>Attivazione Pages — Abilitare Pages e completare il deployment HTTPS. Responsabile proposto: Repository owner. Evidenza: Settings Pages / workflow web.</w:t>
            </w:r>
          </w:p>
        </w:tc>
        <w:tc>
          <w:tcPr>
            <w:tcW w:type="dxa" w:w="1463"/>
          </w:tcPr>
          <w:p>
            <w:pPr>
              <w:spacing w:after="80"/>
            </w:pPr>
            <w:r>
              <w:rPr>
                <w:sz w:val="18"/>
              </w:rPr>
              <w:t>V</w:t>
            </w:r>
          </w:p>
        </w:tc>
      </w:tr>
    </w:tbl>
    <w:p/>
    <w:p>
      <w:pPr>
        <w:pStyle w:val="Heading2"/>
      </w:pPr>
      <w:r>
        <w:t>Consegna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6728"/>
        <w:gridCol w:w="1463"/>
      </w:tblGrid>
      <w:tr>
        <w:trPr>
          <w:tblHeader/>
          <w:cantSplit/>
        </w:trPr>
        <w:tc>
          <w:tcPr>
            <w:tcW w:type="dxa" w:w="1560"/>
            <w:shd w:fill="193B31"/>
          </w:tcPr>
          <w:p>
            <w:pPr>
              <w:spacing w:after="8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6728"/>
            <w:shd w:fill="193B31"/>
          </w:tcPr>
          <w:p>
            <w:pPr>
              <w:spacing w:after="80"/>
            </w:pPr>
            <w:r>
              <w:rPr>
                <w:b/>
                <w:color w:val="FFFFFF"/>
                <w:sz w:val="18"/>
              </w:rPr>
              <w:t>Deliverable e accettazione</w:t>
            </w:r>
          </w:p>
        </w:tc>
        <w:tc>
          <w:tcPr>
            <w:tcW w:type="dxa" w:w="1463"/>
            <w:shd w:fill="193B31"/>
          </w:tcPr>
          <w:p>
            <w:pPr>
              <w:spacing w:after="80"/>
            </w:pPr>
            <w:r>
              <w:rPr>
                <w:b/>
                <w:color w:val="FFFFFF"/>
                <w:sz w:val="18"/>
              </w:rPr>
              <w:t>Stato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spacing w:after="80"/>
            </w:pPr>
            <w:r>
              <w:rPr>
                <w:sz w:val="18"/>
              </w:rPr>
              <w:t>6.1</w:t>
            </w:r>
          </w:p>
        </w:tc>
        <w:tc>
          <w:tcPr>
            <w:tcW w:type="dxa" w:w="6728"/>
          </w:tcPr>
          <w:p>
            <w:pPr>
              <w:spacing w:after="80"/>
            </w:pPr>
            <w:r>
              <w:rPr>
                <w:sz w:val="18"/>
              </w:rPr>
              <w:t>Rimozione funzioni ritirate — Niente Argo, OCR, agenda o simulatore nelle schermate e build. Responsabile proposto: Sviluppatore. Evidenza: package.json / allowlist.</w:t>
            </w:r>
          </w:p>
        </w:tc>
        <w:tc>
          <w:tcPr>
            <w:tcW w:type="dxa" w:w="1463"/>
          </w:tcPr>
          <w:p>
            <w:pPr>
              <w:spacing w:after="80"/>
            </w:pPr>
            <w:r>
              <w:rPr>
                <w:sz w:val="18"/>
              </w:rPr>
              <w:t>R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spacing w:after="80"/>
            </w:pPr>
            <w:r>
              <w:rPr>
                <w:sz w:val="18"/>
              </w:rPr>
              <w:t>6.2</w:t>
            </w:r>
          </w:p>
        </w:tc>
        <w:tc>
          <w:tcPr>
            <w:tcW w:type="dxa" w:w="6728"/>
          </w:tcPr>
          <w:p>
            <w:pPr>
              <w:spacing w:after="80"/>
            </w:pPr>
            <w:r>
              <w:rPr>
                <w:sz w:val="18"/>
              </w:rPr>
              <w:t>Test automatici — Unità, integrazione e browser passano. Responsabile proposto: QA. Evidenza: npm test / npm run test:ui.</w:t>
            </w:r>
          </w:p>
        </w:tc>
        <w:tc>
          <w:tcPr>
            <w:tcW w:type="dxa" w:w="1463"/>
          </w:tcPr>
          <w:p>
            <w:pPr>
              <w:spacing w:after="80"/>
            </w:pPr>
            <w:r>
              <w:rPr>
                <w:sz w:val="18"/>
              </w:rPr>
              <w:t>R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spacing w:after="80"/>
            </w:pPr>
            <w:r>
              <w:rPr>
                <w:sz w:val="18"/>
              </w:rPr>
              <w:t>6.3</w:t>
            </w:r>
          </w:p>
        </w:tc>
        <w:tc>
          <w:tcPr>
            <w:tcW w:type="dxa" w:w="6728"/>
          </w:tcPr>
          <w:p>
            <w:pPr>
              <w:spacing w:after="80"/>
            </w:pPr>
            <w:r>
              <w:rPr>
                <w:sz w:val="18"/>
              </w:rPr>
              <w:t>Pipeline release — Verifica tag, build e checksum prima della pubblicazione. Responsabile proposto: Build engineer. Evidenza: .github/workflows/release.yml.</w:t>
            </w:r>
          </w:p>
        </w:tc>
        <w:tc>
          <w:tcPr>
            <w:tcW w:type="dxa" w:w="1463"/>
          </w:tcPr>
          <w:p>
            <w:pPr>
              <w:spacing w:after="80"/>
            </w:pPr>
            <w:r>
              <w:rPr>
                <w:sz w:val="18"/>
              </w:rPr>
              <w:t>R</w:t>
            </w:r>
          </w:p>
        </w:tc>
      </w:tr>
      <w:tr>
        <w:trPr>
          <w:cantSplit/>
        </w:trPr>
        <w:tc>
          <w:tcPr>
            <w:tcW w:type="dxa" w:w="1560"/>
          </w:tcPr>
          <w:p>
            <w:pPr>
              <w:spacing w:after="80"/>
            </w:pPr>
            <w:r>
              <w:rPr>
                <w:sz w:val="18"/>
              </w:rPr>
              <w:t>6.4</w:t>
            </w:r>
          </w:p>
        </w:tc>
        <w:tc>
          <w:tcPr>
            <w:tcW w:type="dxa" w:w="6728"/>
          </w:tcPr>
          <w:p>
            <w:pPr>
              <w:spacing w:after="80"/>
            </w:pPr>
            <w:r>
              <w:rPr>
                <w:sz w:val="18"/>
              </w:rPr>
              <w:t>Firme di produzione — Chiavi Android stabili e firma Windows commerciale gestite. Responsabile proposto: Release manager. Evidenza: Configurazione futura.</w:t>
            </w:r>
          </w:p>
        </w:tc>
        <w:tc>
          <w:tcPr>
            <w:tcW w:type="dxa" w:w="1463"/>
          </w:tcPr>
          <w:p>
            <w:pPr>
              <w:spacing w:after="80"/>
            </w:pPr>
            <w:r>
              <w:rPr>
                <w:sz w:val="18"/>
              </w:rPr>
              <w:t>P</w:t>
            </w:r>
          </w:p>
        </w:tc>
      </w:tr>
    </w:tbl>
    <w:p/>
    <w:p>
      <w:pPr>
        <w:pStyle w:val="Heading2"/>
      </w:pPr>
      <w:r>
        <w:t>Dipendenze e criteri di completamento</w:t>
      </w:r>
    </w:p>
    <w:p>
      <w:pPr/>
      <w:r>
        <w:t>Identità e perimetro precedono interfaccia e documentazione; medie e validazione precedono grafico e filtri; cifratura precede backup e cambio password; test precedono build e release. Il deploy Pages dipende dall’attivazione del repository da parte del proprietario. Il collaudo fisico richiede una build installabile e un sito HTTPS già pubblicato. Le firme di produzione sono una fase successiva distinta dagli APK di sviluppo.</w:t>
      </w:r>
    </w:p>
    <w:p>
      <w:pPr/>
      <w:r>
        <w:t>Una consegna è verificabile quando il tag coincide con la versione, i job release passano e i download hanno checksum. La qualifica completa richiede anche i pacchetti V; i pacchetti P non sono falsamente indicati come completati. Il CSV UTF-8 con separatore punto e virgola è apribile in Excel; importa la colonna ID come testo.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Documento 2.0 | 30 ottobre 2026    ·    Pagina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26E80"/>
        <w:sz w:val="16"/>
      </w:rPr>
      <w:t>VOTIVA  /  RELAZIONE E WBS  /  SOFTWARE 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93B31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93B3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93B3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280"/>
      <w:contextualSpacing/>
    </w:pPr>
    <w:rPr>
      <w:rFonts w:asciiTheme="majorHAnsi" w:eastAsiaTheme="majorEastAsia" w:hAnsiTheme="majorHAnsi" w:cstheme="majorBidi" w:ascii="Calibri" w:hAnsi="Calibri"/>
      <w:color w:val="193B31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Votiva — Documentazione completa e WBS</dc:title>
  <dc:subject>Registro personale offline — architettura, manuale, verifiche e WBS</dc:subject>
  <dc:creator>Votiva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