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62e5310948345ea" /><Relationship Type="http://schemas.openxmlformats.org/package/2006/relationships/metadata/core-properties" Target="/docProps/core.xml" Id="Rb61c73dad2f747f0" /><Relationship Type="http://schemas.openxmlformats.org/officeDocument/2006/relationships/extended-properties" Target="/docProps/app.xml" Id="R4a67457ecc5c4591" /><Relationship Type="http://schemas.openxmlformats.org/officeDocument/2006/relationships/custom-properties" Target="/docProps/custom.xml" Id="R48675144cb014010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Title"/>
        <w:spacing w:after="240"/>
        <w:jc w:val="center"/>
      </w:pPr>
      <w:r>
        <w:rPr>
          <w:b/>
          <w:sz w:val="56"/>
        </w:rPr>
        <w:t xml:space="preserve">Flipkart Product Performance &amp; Pricing Analysis</w:t>
      </w:r>
    </w:p>
    <w:p w14:paraId="00100002" w14:textId="00100003">
      <w:pPr>
        <w:pStyle w:val="Subtitle"/>
        <w:spacing w:after="160"/>
        <w:jc w:val="center"/>
      </w:pPr>
      <w:r>
        <w:rPr>
          <w:sz w:val="32"/>
        </w:rPr>
        <w:t xml:space="preserve">Identifying Drivers of High Ratings and Sales Recommendations</w:t>
      </w:r>
    </w:p>
    <w:p w14:paraId="00100004" w14:textId="00100005">
      <w:pPr>
        <w:spacing w:after="120"/>
        <w:jc w:val="center"/>
      </w:pPr>
      <w:r>
        <w:rPr>
          <w:sz w:val="26"/>
        </w:rPr>
        <w:t xml:space="preserve">Internship Project Report</w:t>
      </w:r>
    </w:p>
    <w:p w14:paraId="00100006" w14:textId="00100007">
      <w:pPr>
        <w:spacing w:after="120"/>
        <w:jc w:val="center"/>
      </w:pPr>
      <w:r>
        <w:rPr>
          <w:sz w:val="24"/>
        </w:rPr>
        <w:t xml:space="preserve">Submitted to: AICTE IBM SkillsBuild Internship Program</w:t>
      </w:r>
    </w:p>
    <w:p w14:paraId="00100008" w14:textId="00100009">
      <w:pPr>
        <w:spacing w:after="120"/>
        <w:jc w:val="center"/>
      </w:pPr>
      <w:r>
        <w:rPr>
          <w:sz w:val="24"/>
        </w:rPr>
        <w:t xml:space="preserve">Submitted by: [Your Name]  |  Roll No: [Roll No]  |  Institution: [Institution Name]</w:t>
      </w:r>
    </w:p>
    <w:p w14:paraId="0010000A" w14:textId="0010000B">
      <w:pPr>
        <w:spacing w:after="480"/>
        <w:jc w:val="center"/>
      </w:pPr>
      <w:r>
        <w:rPr>
          <w:sz w:val="24"/>
        </w:rPr>
        <w:t xml:space="preserve">Date: [Month Year]</w:t>
      </w:r>
    </w:p>
    <w:p w14:paraId="0010000C" w14:textId="0010000D">
      <w:pPr/>
    </w:p>
    <w:p w14:paraId="0010000E" w14:textId="0010000F">
      <w:pPr>
        <w:pStyle w:val="Heading1"/>
        <w:spacing w:before="240" w:after="200"/>
      </w:pPr>
      <w:r>
        <w:rPr>
          <w:b/>
          <w:sz w:val="36"/>
        </w:rPr>
        <w:t xml:space="preserve">1. Introduction</w:t>
      </w:r>
    </w:p>
    <w:p w14:paraId="00100010" w14:textId="00100011">
      <w:pPr>
        <w:pStyle w:val="Heading2"/>
        <w:spacing w:before="160" w:after="120"/>
      </w:pPr>
      <w:r>
        <w:rPr>
          <w:b/>
          <w:sz w:val="28"/>
        </w:rPr>
        <w:t xml:space="preserve">1.1 Business Problem</w:t>
      </w:r>
    </w:p>
    <w:p w14:paraId="00100012" w14:textId="0010016E">
      <w:pPr>
        <w:spacing w:after="160"/>
      </w:pPr>
      <w:r>
        <w:rPr>
          <w:sz w:val="22"/>
        </w:rPr>
        <w:t xml:space="preserve">Flipkart hosts thousands of products across dozens of categories, making it hard to separate top performers from underperformers without data-driven analysis.</w:t>
      </w:r>
    </w:p>
    <w:p w14:paraId="00100014" w14:textId="00100015">
      <w:pPr>
        <w:pStyle w:val="Heading2"/>
        <w:spacing w:before="160" w:after="120"/>
      </w:pPr>
      <w:r>
        <w:rPr>
          <w:b/>
          <w:sz w:val="28"/>
        </w:rPr>
        <w:t xml:space="preserve">1.2 Project Objective</w:t>
      </w:r>
    </w:p>
    <w:p w14:paraId="00100016" w14:textId="0010016F">
      <w:pPr>
        <w:spacing w:after="80"/>
      </w:pPr>
      <w:r>
        <w:rPr>
          <w:sz w:val="22"/>
        </w:rPr>
        <w:t xml:space="preserve"/>
      </w:r>
    </w:p>
    <w:p w14:paraId="00100018" w14:textId="00100170">
      <w:pPr>
        <w:numPr>
          <w:ilvl w:val="0"/>
          <w:numId w:val="1"/>
        </w:numPr>
        <w:spacing w:after="80"/>
      </w:pPr>
      <w:r>
        <w:rPr>
          <w:sz w:val="22"/>
        </w:rPr>
        <w:t xml:space="preserve">• Identify top and underperforming products using ratings, review volume, and sentiment.</w:t>
      </w:r>
    </w:p>
    <w:p w14:paraId="0010001A" w14:textId="00100171">
      <w:pPr>
        <w:numPr>
          <w:ilvl w:val="0"/>
          <w:numId w:val="1"/>
        </w:numPr>
        <w:spacing w:after="80"/>
      </w:pPr>
      <w:r>
        <w:rPr>
          <w:sz w:val="22"/>
        </w:rPr>
        <w:t xml:space="preserve">• Uncover pricing patterns across categories and Budget / Mid / Premium tiers.</w:t>
      </w:r>
    </w:p>
    <w:p w14:paraId="0010001C" w14:textId="00100172">
      <w:pPr>
        <w:numPr>
          <w:ilvl w:val="0"/>
          <w:numId w:val="1"/>
        </w:numPr>
        <w:spacing w:after="80"/>
      </w:pPr>
      <w:r>
        <w:rPr>
          <w:sz w:val="22"/>
        </w:rPr>
        <w:t xml:space="preserve">• Determine which product characteristics most strongly drive high ratings.</w:t>
      </w:r>
    </w:p>
    <w:p w14:paraId="0010001E" w14:textId="00100173">
      <w:pPr>
        <w:numPr>
          <w:ilvl w:val="0"/>
          <w:numId w:val="1"/>
        </w:numPr>
        <w:spacing w:after="200"/>
      </w:pPr>
      <w:r>
        <w:rPr>
          <w:sz w:val="22"/>
        </w:rPr>
        <w:t xml:space="preserve">• Generate data-backed sales recommendations for Flipkart's category teams.</w:t>
      </w:r>
    </w:p>
    <w:p w14:paraId="00100020" w14:textId="00100021">
      <w:pPr>
        <w:pStyle w:val="Heading2"/>
        <w:spacing w:before="160" w:after="120"/>
      </w:pPr>
      <w:r>
        <w:rPr>
          <w:b/>
          <w:sz w:val="28"/>
        </w:rPr>
        <w:t xml:space="preserve">1.3 Dataset Description</w:t>
      </w:r>
    </w:p>
    <w:p w14:paraId="00100022" w14:textId="00100174">
      <w:pPr>
        <w:spacing w:after="120"/>
      </w:pPr>
      <w:r>
        <w:rPr>
          <w:sz w:val="22"/>
        </w:rPr>
        <w:t xml:space="preserve">Source: Kaggle — Flipkart Product Customer Reviews Dataset by niraliivaghani. ~170,000 rows, 104 product types, 6 columns: Product Name, Price, Rate, Review, Summary, Sentiment (pre-labelled).</w:t>
      </w:r>
    </w:p>
    <w:tbl>
      <w:tblPr>
        <w:tblW w:w="5000" w:type="pct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2768"/>
        <w:gridCol w:w="2768"/>
        <w:gridCol w:w="2768"/>
      </w:tblGrid>
      <w:tr>
        <w:trPr>
          <w:tblHeader/>
        </w:trPr>
        <w:tc>
          <w:p w14:paraId="00100024" w14:textId="00100025">
            <w:r>
              <w:t xml:space="preserve">Field Name</w:t>
            </w:r>
          </w:p>
        </w:tc>
        <w:tc>
          <w:p w14:paraId="00100026" w14:textId="00100027">
            <w:r>
              <w:t xml:space="preserve">Data Type</w:t>
            </w:r>
          </w:p>
        </w:tc>
        <w:tc>
          <w:p w14:paraId="00100028" w14:textId="00100029">
            <w:r>
              <w:t xml:space="preserve">Description</w:t>
            </w:r>
          </w:p>
        </w:tc>
      </w:tr>
      <w:tr>
        <w:trPr/>
        <w:tc>
          <w:p w14:paraId="0010002A" w14:textId="0010002B">
            <w:r>
              <w:t xml:space="preserve">ProductName</w:t>
            </w:r>
          </w:p>
        </w:tc>
        <w:tc>
          <w:p w14:paraId="0010002C" w14:textId="0010002D">
            <w:r>
              <w:t xml:space="preserve">String</w:t>
            </w:r>
          </w:p>
        </w:tc>
        <w:tc>
          <w:p w14:paraId="0010002E" w14:textId="0010002F">
            <w:r>
              <w:t xml:space="preserve">Full product name as listed on Flipkart; used for category extraction and product-level aggregation.</w:t>
            </w:r>
          </w:p>
        </w:tc>
      </w:tr>
      <w:tr>
        <w:trPr/>
        <w:tc>
          <w:p w14:paraId="00100030" w14:textId="00100031">
            <w:r>
              <w:t xml:space="preserve">Price</w:t>
            </w:r>
          </w:p>
        </w:tc>
        <w:tc>
          <w:p w14:paraId="00100032" w14:textId="00100033">
            <w:r>
              <w:t xml:space="preserve">Numeric (Float)</w:t>
            </w:r>
          </w:p>
        </w:tc>
        <w:tc>
          <w:p w14:paraId="00100034" w14:textId="00100035">
            <w:r>
              <w:t xml:space="preserve">Listed product price in Indian Rupees (Rs.). Contains currency symbols and commas that require cleaning.</w:t>
            </w:r>
          </w:p>
        </w:tc>
      </w:tr>
      <w:tr>
        <w:trPr/>
        <w:tc>
          <w:p w14:paraId="00100036" w14:textId="00100037">
            <w:r>
              <w:t xml:space="preserve">Rate</w:t>
            </w:r>
          </w:p>
        </w:tc>
        <w:tc>
          <w:p w14:paraId="00100038" w14:textId="00100039">
            <w:r>
              <w:t xml:space="preserve">Numeric (Float)</w:t>
            </w:r>
          </w:p>
        </w:tc>
        <w:tc>
          <w:p w14:paraId="0010003A" w14:textId="0010003B">
            <w:r>
              <w:t xml:space="preserve">Customer star rating on a 1-5 scale. The primary outcome variable for all performance analysis.</w:t>
            </w:r>
          </w:p>
        </w:tc>
      </w:tr>
      <w:tr>
        <w:trPr/>
        <w:tc>
          <w:p w14:paraId="0010003C" w14:textId="0010003D">
            <w:r>
              <w:t xml:space="preserve">Review</w:t>
            </w:r>
          </w:p>
        </w:tc>
        <w:tc>
          <w:p w14:paraId="0010003E" w14:textId="0010003F">
            <w:r>
              <w:t xml:space="preserve">String</w:t>
            </w:r>
          </w:p>
        </w:tc>
        <w:tc>
          <w:p w14:paraId="00100040" w14:textId="00100041">
            <w:r>
              <w:t xml:space="preserve">Full text of the customer review. Used for TF-IDF negative keyword extraction. May be null when only Summary exists.</w:t>
            </w:r>
          </w:p>
        </w:tc>
      </w:tr>
      <w:tr>
        <w:trPr/>
        <w:tc>
          <w:p w14:paraId="00100042" w14:textId="00100043">
            <w:r>
              <w:t xml:space="preserve">Summary</w:t>
            </w:r>
          </w:p>
        </w:tc>
        <w:tc>
          <w:p w14:paraId="00100044" w14:textId="00100045">
            <w:r>
              <w:t xml:space="preserve">String</w:t>
            </w:r>
          </w:p>
        </w:tc>
        <w:tc>
          <w:p w14:paraId="00100046" w14:textId="00100047">
            <w:r>
              <w:t xml:space="preserve">Short review headline or summary. Combined with Review for text analysis. May be null when Review exists.</w:t>
            </w:r>
          </w:p>
        </w:tc>
      </w:tr>
    </w:tbl>
    <w:p w14:paraId="00100048" w14:textId="00100049">
      <w:pPr>
        <w:spacing w:after="200"/>
        <w:jc w:val="center"/>
      </w:pPr>
      <w:r>
        <w:rPr>
          <w:sz w:val="20"/>
        </w:rPr>
        <w:t xml:space="preserve">Table 1: Dataset field descriptions</w:t>
      </w:r>
    </w:p>
    <w:p w14:paraId="0010004A" w14:textId="00100175">
      <w:pPr>
        <w:spacing w:after="200"/>
      </w:pPr>
      <w:r>
        <w:rPr>
          <w:sz w:val="22"/>
        </w:rPr>
        <w:t xml:space="preserve"/>
      </w:r>
    </w:p>
    <w:p w14:paraId="0010004C" w14:textId="0010004D">
      <w:pPr/>
    </w:p>
    <w:p w14:paraId="0010004E" w14:textId="0010004F">
      <w:pPr>
        <w:pStyle w:val="Heading1"/>
        <w:spacing w:before="240" w:after="200"/>
      </w:pPr>
      <w:r>
        <w:rPr>
          <w:b/>
          <w:sz w:val="36"/>
        </w:rPr>
        <w:t xml:space="preserve">2. Methodology</w:t>
      </w:r>
    </w:p>
    <w:p w14:paraId="00100050" w14:textId="00100051">
      <w:pPr>
        <w:pStyle w:val="Heading2"/>
        <w:spacing w:before="160" w:after="120"/>
      </w:pPr>
      <w:r>
        <w:rPr>
          <w:b/>
          <w:sz w:val="28"/>
        </w:rPr>
        <w:t xml:space="preserve">2.1 Tools and Libraries</w:t>
      </w:r>
    </w:p>
    <w:p w14:paraId="00100052" w14:textId="00100176">
      <w:pPr>
        <w:spacing w:after="120"/>
      </w:pPr>
      <w:r>
        <w:rPr>
          <w:sz w:val="22"/>
        </w:rPr>
        <w:t xml:space="preserve">Python 3.11 — pandas, numpy, matplotlib, seaborn, scikit-learn (GBR, TF-IDF), wordcloud, Streamlit / ipywidgets.</w:t>
      </w:r>
    </w:p>
    <w:p w14:paraId="00100060" w14:textId="00100061">
      <w:pPr>
        <w:pStyle w:val="Heading2"/>
        <w:spacing w:before="160" w:after="120"/>
      </w:pPr>
      <w:r>
        <w:rPr>
          <w:b/>
          <w:sz w:val="28"/>
        </w:rPr>
        <w:t xml:space="preserve">2.2 Analysis Approach</w:t>
      </w:r>
    </w:p>
    <w:p w14:paraId="00100062" w14:textId="0010017D">
      <w:pPr>
        <w:spacing w:after="120"/>
      </w:pPr>
      <w:r>
        <w:rPr>
          <w:sz w:val="22"/>
        </w:rPr>
        <w:t xml:space="preserve"/>
      </w:r>
    </w:p>
    <w:p w14:paraId="00100064" w14:textId="0010017E">
      <w:pPr>
        <w:numPr>
          <w:ilvl w:val="0"/>
          <w:numId w:val="3"/>
        </w:numPr>
        <w:spacing w:after="80"/>
      </w:pPr>
      <w:r>
        <w:rPr>
          <w:sz w:val="22"/>
        </w:rPr>
        <w:t xml:space="preserve">• Load &amp; clean data  →  Extract categories  →  Aggregate by product  →  Rank top/bottom  →  Price analysis  →  ML model  →  TF-IDF complaints  →  Recommendations</w:t>
      </w:r>
    </w:p>
    <w:p w14:paraId="0010006E" w14:textId="0010006F">
      <w:pPr/>
    </w:p>
    <w:p w14:paraId="00100070" w14:textId="00100071">
      <w:pPr>
        <w:pStyle w:val="Heading1"/>
        <w:spacing w:before="240" w:after="200"/>
      </w:pPr>
      <w:r>
        <w:rPr>
          <w:b/>
          <w:sz w:val="36"/>
        </w:rPr>
        <w:t xml:space="preserve">3. Data Preparation</w:t>
      </w:r>
    </w:p>
    <w:p w14:paraId="00100072" w14:textId="00100073">
      <w:pPr>
        <w:pStyle w:val="Heading2"/>
        <w:spacing w:before="160" w:after="120"/>
      </w:pPr>
      <w:r>
        <w:rPr>
          <w:b/>
          <w:sz w:val="28"/>
        </w:rPr>
        <w:t xml:space="preserve">3.1 Data Cleaning Steps</w:t>
      </w:r>
    </w:p>
    <w:p w14:paraId="00100074" w14:textId="00100183">
      <w:pPr>
        <w:numPr>
          <w:ilvl w:val="0"/>
          <w:numId w:val="4"/>
        </w:numPr>
        <w:spacing w:after="80"/>
      </w:pPr>
      <w:r>
        <w:rPr>
          <w:sz w:val="22"/>
        </w:rPr>
        <w:t xml:space="preserve">• Standardised column names, removed currency symbols from Price, coerced Rate to numeric, kept rows with at least one text field, title-cased Sentiment, removed exact duplicates.</w:t>
      </w:r>
    </w:p>
    <w:p w14:paraId="0010007E" w14:textId="0010007F">
      <w:pPr>
        <w:pStyle w:val="Heading2"/>
        <w:spacing w:before="160" w:after="120"/>
      </w:pPr>
      <w:r>
        <w:rPr>
          <w:b/>
          <w:sz w:val="28"/>
        </w:rPr>
        <w:t xml:space="preserve">3.2 Category Extraction</w:t>
      </w:r>
    </w:p>
    <w:p w14:paraId="00100080" w14:textId="00100188">
      <w:pPr>
        <w:spacing w:after="200"/>
      </w:pPr>
      <w:r>
        <w:rPr>
          <w:sz w:val="22"/>
        </w:rPr>
        <w:t xml:space="preserve">A keyword dictionary mapped product names to 13 categories (Smartphones, Watches, Clothing, Home &amp; Kitchen, etc.). Unmatched products were labelled Other.</w:t>
      </w:r>
    </w:p>
    <w:p w14:paraId="00100082" w14:textId="00100083">
      <w:pPr>
        <w:pStyle w:val="Heading2"/>
        <w:spacing w:before="160" w:after="120"/>
      </w:pPr>
      <w:r>
        <w:rPr>
          <w:b/>
          <w:sz w:val="28"/>
        </w:rPr>
        <w:t xml:space="preserve">3.3 Aggregated Data Sample</w:t>
      </w:r>
    </w:p>
    <w:p w14:paraId="00100084" w14:textId="00100189">
      <w:pPr>
        <w:spacing w:after="160"/>
      </w:pPr>
      <w:r>
        <w:rPr>
          <w:sz w:val="22"/>
        </w:rPr>
        <w:t xml:space="preserve">Products aggregated by name: avg rating, review count, avg price, Positive / Neutral / Negative %.</w:t>
      </w:r>
    </w:p>
    <w:p w14:paraId="00100150" w14:textId="00100164">
      <w:pPr>
        <w:spacing w:line="240" w:lineRule="auto"/>
        <w:jc w:val="center"/>
      </w:pPr>
      <w:r>
        <w:rPr/>
        <w:drawing>
          <wp:inline distT="0" distB="0" distL="0" distR="0">
            <wp:extent cx="5400000" cy="1495664"/>
            <wp:effectExtent l="0" t="0" r="0" b="0"/>
            <wp:docPr id="1" name="aggregated_data_sample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aggregated_data_sample.png"/>
                    <pic:cNvPicPr/>
                  </pic:nvPicPr>
                  <pic:blipFill>
                    <a:blip r:embed="R09dfd1f855c84e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495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88" w14:textId="00100089">
      <w:pPr>
        <w:spacing w:after="320"/>
        <w:jc w:val="center"/>
      </w:pPr>
      <w:r>
        <w:rPr>
          <w:sz w:val="20"/>
        </w:rPr>
        <w:t xml:space="preserve">Figure 1: Sample of aggregated product-level data showing avg_rating, review_count, avg_price, and sentiment percentages.</w:t>
      </w:r>
    </w:p>
    <w:p w14:paraId="0010008A" w14:textId="0010008B">
      <w:pPr/>
    </w:p>
    <w:p w14:paraId="0010008C" w14:textId="0010008D">
      <w:pPr>
        <w:pStyle w:val="Heading1"/>
        <w:spacing w:before="240" w:after="200"/>
      </w:pPr>
      <w:r>
        <w:rPr>
          <w:b/>
          <w:sz w:val="36"/>
        </w:rPr>
        <w:t xml:space="preserve">4. Top-Performing vs Underperforming Products</w:t>
      </w:r>
    </w:p>
    <w:p w14:paraId="0010008E" w14:textId="0010008F">
      <w:pPr>
        <w:pStyle w:val="Heading2"/>
        <w:spacing w:before="160" w:after="120"/>
      </w:pPr>
      <w:r>
        <w:rPr>
          <w:b/>
          <w:sz w:val="28"/>
        </w:rPr>
        <w:t xml:space="preserve">4.1 Methodology for Ranking</w:t>
      </w:r>
    </w:p>
    <w:p w14:paraId="00100090" w14:textId="0010018A">
      <w:pPr>
        <w:spacing w:after="200"/>
      </w:pPr>
      <w:r>
        <w:rPr>
          <w:sz w:val="22"/>
        </w:rPr>
        <w:t xml:space="preserve">Ranked by composite score = z(avg_rating) + z(pos_pct) + z(log(review_count)). Minimum 30 reviews required.</w:t>
      </w:r>
    </w:p>
    <w:p w14:paraId="00100092" w14:textId="00100093">
      <w:pPr>
        <w:pStyle w:val="Heading2"/>
        <w:spacing w:before="160" w:after="120"/>
      </w:pPr>
      <w:r>
        <w:rPr>
          <w:b/>
          <w:sz w:val="28"/>
        </w:rPr>
        <w:t xml:space="preserve">4.2 Top 10 Products</w:t>
      </w:r>
    </w:p>
    <w:p w14:paraId="00100094" w14:textId="0010018B">
      <w:pPr>
        <w:spacing w:after="160"/>
      </w:pPr>
      <w:r>
        <w:rPr>
          <w:sz w:val="22"/>
        </w:rPr>
        <w:t xml:space="preserve">Top products: Watches and Smartphone Accessories, avg rating &gt; 4.3, positive sentiment &gt; 70%.</w:t>
      </w:r>
    </w:p>
    <w:p w14:paraId="00100152" w14:textId="00100165">
      <w:pPr>
        <w:spacing w:line="240" w:lineRule="auto"/>
        <w:jc w:val="center"/>
      </w:pPr>
      <w:r>
        <w:rPr/>
        <w:drawing>
          <wp:inline distT="0" distB="0" distL="0" distR="0">
            <wp:extent cx="5400000" cy="1760341"/>
            <wp:effectExtent l="0" t="0" r="0" b="0"/>
            <wp:docPr id="2" name="top10_products_chart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top10_products_chart.png"/>
                    <pic:cNvPicPr/>
                  </pic:nvPicPr>
                  <pic:blipFill>
                    <a:blip r:embed="R07066e29db364fe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98" w14:textId="00100099">
      <w:pPr>
        <w:spacing w:after="320"/>
        <w:jc w:val="center"/>
      </w:pPr>
      <w:r>
        <w:rPr>
          <w:sz w:val="20"/>
        </w:rPr>
        <w:t xml:space="preserve">Figure 2: Top 10 products by composite score — average rating (left) and sentiment breakdown (right).</w:t>
      </w:r>
    </w:p>
    <w:p w14:paraId="0010009A" w14:textId="0010009B">
      <w:pPr>
        <w:pStyle w:val="Heading2"/>
        <w:spacing w:before="160" w:after="120"/>
      </w:pPr>
      <w:r>
        <w:rPr>
          <w:b/>
          <w:sz w:val="28"/>
        </w:rPr>
        <w:t xml:space="preserve">4.3 Bottom 10 Products</w:t>
      </w:r>
    </w:p>
    <w:p w14:paraId="0010009C" w14:textId="0010018C">
      <w:pPr>
        <w:spacing w:after="160"/>
      </w:pPr>
      <w:r>
        <w:rPr>
          <w:sz w:val="22"/>
        </w:rPr>
        <w:t xml:space="preserve">Bottom products: Home &amp; Kitchen and Clothing, avg rating &lt; 3.0, negative sentiment &gt; 40%.</w:t>
      </w:r>
    </w:p>
    <w:p w14:paraId="00100154" w14:textId="00100166">
      <w:pPr>
        <w:spacing w:line="240" w:lineRule="auto"/>
        <w:jc w:val="center"/>
      </w:pPr>
      <w:r>
        <w:rPr/>
        <w:drawing>
          <wp:inline distT="0" distB="0" distL="0" distR="0">
            <wp:extent cx="5400000" cy="1760341"/>
            <wp:effectExtent l="0" t="0" r="0" b="0"/>
            <wp:docPr id="3" name="bottom10_products_chart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bottom10_products_chart.png"/>
                    <pic:cNvPicPr/>
                  </pic:nvPicPr>
                  <pic:blipFill>
                    <a:blip r:embed="R8099b0238e0141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60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A0" w14:textId="001000A1">
      <w:pPr>
        <w:spacing w:after="320"/>
        <w:jc w:val="center"/>
      </w:pPr>
      <w:r>
        <w:rPr>
          <w:sz w:val="20"/>
        </w:rPr>
        <w:t xml:space="preserve">Figure 3: Bottom 10 products by composite score — average rating (left) and sentiment breakdown (right).</w:t>
      </w:r>
    </w:p>
    <w:p w14:paraId="001000A2" w14:textId="001000A3">
      <w:pPr/>
    </w:p>
    <w:p w14:paraId="001000A4" w14:textId="001000A5">
      <w:pPr>
        <w:pStyle w:val="Heading1"/>
        <w:spacing w:before="240" w:after="200"/>
      </w:pPr>
      <w:r>
        <w:rPr>
          <w:b/>
          <w:sz w:val="36"/>
        </w:rPr>
        <w:t xml:space="preserve">5. Pricing Pattern Analysis</w:t>
      </w:r>
    </w:p>
    <w:p w14:paraId="001000A6" w14:textId="001000A7">
      <w:pPr>
        <w:pStyle w:val="Heading2"/>
        <w:spacing w:before="160" w:after="120"/>
      </w:pPr>
      <w:r>
        <w:rPr>
          <w:b/>
          <w:sz w:val="28"/>
        </w:rPr>
        <w:t xml:space="preserve">5.1 Price vs Rating Relationship</w:t>
      </w:r>
    </w:p>
    <w:p w14:paraId="001000A8" w14:textId="0010018D">
      <w:pPr>
        <w:spacing w:after="160"/>
      </w:pPr>
      <w:r>
        <w:rPr>
          <w:sz w:val="22"/>
        </w:rPr>
        <w:t xml:space="preserve">Higher price does not consistently yield higher ratings. Ratings cluster between 3.5–5.0 across all price bands.</w:t>
      </w:r>
    </w:p>
    <w:p w14:paraId="00100156" w14:textId="00100167">
      <w:pPr>
        <w:spacing w:line="240" w:lineRule="auto"/>
        <w:jc w:val="center"/>
      </w:pPr>
      <w:r>
        <w:rPr/>
        <w:drawing>
          <wp:inline distT="0" distB="0" distL="0" distR="0">
            <wp:extent cx="5400000" cy="2661971"/>
            <wp:effectExtent l="0" t="0" r="0" b="0"/>
            <wp:docPr id="4" name="price_vs_rating_scatter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price_vs_rating_scatter.png"/>
                    <pic:cNvPicPr/>
                  </pic:nvPicPr>
                  <pic:blipFill>
                    <a:blip r:embed="R2d4b1d03a63a422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61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AC" w14:textId="001000AD">
      <w:pPr>
        <w:spacing w:after="320"/>
        <w:jc w:val="center"/>
      </w:pPr>
      <w:r>
        <w:rPr>
          <w:sz w:val="20"/>
        </w:rPr>
        <w:t xml:space="preserve">Figure 4: Scatter plot of Price (Rs.) vs Average Rating, coloured by product category (8,000-row sample).</w:t>
      </w:r>
    </w:p>
    <w:p w14:paraId="001000AE" w14:textId="001000AF">
      <w:pPr>
        <w:pStyle w:val="Heading2"/>
        <w:spacing w:before="160" w:after="120"/>
      </w:pPr>
      <w:r>
        <w:rPr>
          <w:b/>
          <w:sz w:val="28"/>
        </w:rPr>
        <w:t xml:space="preserve">5.2 Price Distribution by Category</w:t>
      </w:r>
    </w:p>
    <w:p w14:paraId="001000B0" w14:textId="0010018E">
      <w:pPr>
        <w:spacing w:after="160"/>
      </w:pPr>
      <w:r>
        <w:rPr>
          <w:sz w:val="22"/>
        </w:rPr>
        <w:t xml:space="preserve">Laptops command the highest median prices. Wide price range in Home &amp; Kitchen correlates with inconsistent ratings.</w:t>
      </w:r>
    </w:p>
    <w:p w14:paraId="00100158" w14:textId="00100168">
      <w:pPr>
        <w:spacing w:line="240" w:lineRule="auto"/>
        <w:jc w:val="center"/>
      </w:pPr>
      <w:r>
        <w:rPr/>
        <w:drawing>
          <wp:inline distT="0" distB="0" distL="0" distR="0">
            <wp:extent cx="5400000" cy="2294219"/>
            <wp:effectExtent l="0" t="0" r="0" b="0"/>
            <wp:docPr id="5" name="price_by_category_boxplot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price_by_category_boxplot.png"/>
                    <pic:cNvPicPr/>
                  </pic:nvPicPr>
                  <pic:blipFill>
                    <a:blip r:embed="R4a05e951a32f45f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94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B4" w14:textId="001000B5">
      <w:pPr>
        <w:spacing w:after="320"/>
        <w:jc w:val="center"/>
      </w:pPr>
      <w:r>
        <w:rPr>
          <w:sz w:val="20"/>
        </w:rPr>
        <w:t xml:space="preserve">Figure 5: Box plot of price distribution by category (capped at 97th percentile to suppress extreme outliers).</w:t>
      </w:r>
    </w:p>
    <w:p w14:paraId="001000B6" w14:textId="001000B7">
      <w:pPr>
        <w:pStyle w:val="Heading2"/>
        <w:spacing w:before="160" w:after="120"/>
      </w:pPr>
      <w:r>
        <w:rPr>
          <w:b/>
          <w:sz w:val="28"/>
        </w:rPr>
        <w:t xml:space="preserve">5.3 Price Tiers and Customer Satisfaction</w:t>
      </w:r>
    </w:p>
    <w:p w14:paraId="001000B8" w14:textId="0010018F">
      <w:pPr>
        <w:spacing w:after="160"/>
      </w:pPr>
      <w:r>
        <w:rPr>
          <w:sz w:val="22"/>
        </w:rPr>
        <w:t xml:space="preserve">Mid-range tier achieves the highest average ratings. Premium tier shows more negative sentiment when quality doesn't match price.</w:t>
      </w:r>
    </w:p>
    <w:p w14:paraId="0010015A" w14:textId="00100169">
      <w:pPr>
        <w:spacing w:line="240" w:lineRule="auto"/>
        <w:jc w:val="center"/>
      </w:pPr>
      <w:r>
        <w:rPr/>
        <w:drawing>
          <wp:inline distT="0" distB="0" distL="0" distR="0">
            <wp:extent cx="4320000" cy="2421052"/>
            <wp:effectExtent l="0" t="0" r="0" b="0"/>
            <wp:docPr id="6" name="price_tier_rating_chart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price_tier_rating_chart.png"/>
                    <pic:cNvPicPr/>
                  </pic:nvPicPr>
                  <pic:blipFill>
                    <a:blip r:embed="R1f169b08c7a248bc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2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BC" w14:textId="001000BD">
      <w:pPr>
        <w:spacing w:after="320"/>
        <w:jc w:val="center"/>
      </w:pPr>
      <w:r>
        <w:rPr>
          <w:sz w:val="20"/>
        </w:rPr>
        <w:t xml:space="preserve">Figure 6: Average rating per price tier (Budget / Mid / Premium) with sentiment breakdown overlay.</w:t>
      </w:r>
    </w:p>
    <w:p w14:paraId="001000BE" w14:textId="001000BF">
      <w:pPr/>
    </w:p>
    <w:p w14:paraId="001000C0" w14:textId="001000C1">
      <w:pPr>
        <w:pStyle w:val="Heading1"/>
        <w:spacing w:before="240" w:after="200"/>
      </w:pPr>
      <w:r>
        <w:rPr>
          <w:b/>
          <w:sz w:val="36"/>
        </w:rPr>
        <w:t xml:space="preserve">6. What Drives High Ratings</w:t>
      </w:r>
    </w:p>
    <w:p w14:paraId="001000C2" w14:textId="001000C3">
      <w:pPr>
        <w:pStyle w:val="Heading2"/>
        <w:spacing w:before="160" w:after="120"/>
      </w:pPr>
      <w:r>
        <w:rPr>
          <w:b/>
          <w:sz w:val="28"/>
        </w:rPr>
        <w:t xml:space="preserve">6.1 Correlation Analysis</w:t>
      </w:r>
    </w:p>
    <w:p w14:paraId="001000C4" w14:textId="00100190">
      <w:pPr>
        <w:spacing w:after="160"/>
      </w:pPr>
      <w:r>
        <w:rPr>
          <w:sz w:val="22"/>
        </w:rPr>
        <w:t xml:space="preserve">Positive sentiment % vs avg rating: r = 0.82 (strongest). Price vs rating: r = 0.12 (weakest).</w:t>
      </w:r>
    </w:p>
    <w:p w14:paraId="0010015C" w14:textId="0010016A">
      <w:pPr>
        <w:spacing w:line="240" w:lineRule="auto"/>
        <w:jc w:val="center"/>
      </w:pPr>
      <w:r>
        <w:rPr/>
        <w:drawing>
          <wp:inline distT="0" distB="0" distL="0" distR="0">
            <wp:extent cx="4320000" cy="3163636"/>
            <wp:effectExtent l="0" t="0" r="0" b="0"/>
            <wp:docPr id="7" name="correlation_heatmap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correlation_heatmap.png"/>
                    <pic:cNvPicPr/>
                  </pic:nvPicPr>
                  <pic:blipFill>
                    <a:blip r:embed="R2e98b2f9fadd43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16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C8" w14:textId="001000C9">
      <w:pPr>
        <w:spacing w:after="320"/>
        <w:jc w:val="center"/>
      </w:pPr>
      <w:r>
        <w:rPr>
          <w:sz w:val="20"/>
        </w:rPr>
        <w:t xml:space="preserve">Figure 7: Pearson correlation heatmap — average rating, price, review count, and positive sentiment %.</w:t>
      </w:r>
    </w:p>
    <w:p w14:paraId="001000CA" w14:textId="001000CB">
      <w:pPr>
        <w:pStyle w:val="Heading2"/>
        <w:spacing w:before="160" w:after="120"/>
      </w:pPr>
      <w:r>
        <w:rPr>
          <w:b/>
          <w:sz w:val="28"/>
        </w:rPr>
        <w:t xml:space="preserve">6.2 Predictive Modelling — Feature Importance</w:t>
      </w:r>
    </w:p>
    <w:p w14:paraId="001000CC" w14:textId="00100191">
      <w:pPr>
        <w:spacing w:after="160"/>
      </w:pPr>
      <w:r>
        <w:rPr>
          <w:sz w:val="22"/>
        </w:rPr>
        <w:t xml:space="preserve">Gradient Boosting Regressor trained on price, review count, positive sentiment %, and category. MAE = 0.115, R² = 0.892.</w:t>
      </w:r>
    </w:p>
    <w:p w14:paraId="0010015E" w14:textId="0010016B">
      <w:pPr>
        <w:spacing w:line="240" w:lineRule="auto"/>
        <w:jc w:val="center"/>
      </w:pPr>
      <w:r>
        <w:rPr/>
        <w:drawing>
          <wp:inline distT="0" distB="0" distL="0" distR="0">
            <wp:extent cx="4320000" cy="2418695"/>
            <wp:effectExtent l="0" t="0" r="0" b="0"/>
            <wp:docPr id="8" name="feature_importance_chart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feature_importance_chart.png"/>
                    <pic:cNvPicPr/>
                  </pic:nvPicPr>
                  <pic:blipFill>
                    <a:blip r:embed="R4e32badad643401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41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D0" w14:textId="001000D1">
      <w:pPr>
        <w:spacing w:after="160"/>
        <w:jc w:val="center"/>
      </w:pPr>
      <w:r>
        <w:rPr>
          <w:sz w:val="20"/>
        </w:rPr>
        <w:t xml:space="preserve">Figure 8: Feature importance from Gradient Boosting Regressor predicting average product rating.</w:t>
      </w:r>
    </w:p>
    <w:p w14:paraId="001000D2" w14:textId="00100192">
      <w:pPr>
        <w:spacing w:after="320"/>
      </w:pPr>
      <w:r>
        <w:rPr>
          <w:sz w:val="22"/>
        </w:rPr>
        <w:t xml:space="preserve">Positive sentiment % is the top driver (57% importance). Price ranks last — quality perception matters far more than price.</w:t>
      </w:r>
    </w:p>
    <w:p w14:paraId="001000D4" w14:textId="001000D5">
      <w:pPr/>
    </w:p>
    <w:p w14:paraId="001000D6" w14:textId="001000D7">
      <w:pPr>
        <w:pStyle w:val="Heading1"/>
        <w:spacing w:before="240" w:after="200"/>
      </w:pPr>
      <w:r>
        <w:rPr>
          <w:b/>
          <w:sz w:val="36"/>
        </w:rPr>
        <w:t xml:space="preserve">7. Root-Cause Analysis of Underperformance</w:t>
      </w:r>
    </w:p>
    <w:p w14:paraId="001000D8" w14:textId="00100193">
      <w:pPr>
        <w:spacing w:after="160"/>
      </w:pPr>
      <w:r>
        <w:rPr>
          <w:sz w:val="22"/>
        </w:rPr>
        <w:t xml:space="preserve">Negative reviews from bottom-quartile categories were analysed with TF-IDF to surface recurring complaint keywords.</w:t>
      </w:r>
    </w:p>
    <w:p w14:paraId="001000DA" w14:textId="00100194">
      <w:pPr>
        <w:spacing w:after="120"/>
      </w:pPr>
      <w:r>
        <w:rPr>
          <w:sz w:val="22"/>
        </w:rPr>
        <w:t xml:space="preserve"/>
      </w:r>
    </w:p>
    <w:p w14:paraId="001000DC" w14:textId="00100195">
      <w:pPr>
        <w:numPr>
          <w:ilvl w:val="0"/>
          <w:numId w:val="5"/>
        </w:numPr>
        <w:spacing w:after="80"/>
      </w:pPr>
      <w:r>
        <w:rPr>
          <w:sz w:val="22"/>
        </w:rPr>
        <w:t xml:space="preserve">Top complaint themes: poor quality, damaged packaging, not as described, size issues, refund delays.</w:t>
      </w:r>
    </w:p>
    <w:p w14:paraId="00100160" w14:textId="0010016C">
      <w:pPr>
        <w:spacing w:line="240" w:lineRule="auto"/>
        <w:jc w:val="center"/>
      </w:pPr>
      <w:r>
        <w:rPr/>
        <w:drawing>
          <wp:inline distT="0" distB="0" distL="0" distR="0">
            <wp:extent cx="5400000" cy="2597876"/>
            <wp:effectExtent l="0" t="0" r="0" b="0"/>
            <wp:docPr id="9" name="negative_keywords_wordcloud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9" name="negative_keywords_wordcloud.png"/>
                    <pic:cNvPicPr/>
                  </pic:nvPicPr>
                  <pic:blipFill>
                    <a:blip r:embed="Rf615500bb60843aa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97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0E6" w14:textId="001000E7">
      <w:pPr>
        <w:spacing w:after="160"/>
        <w:jc w:val="center"/>
      </w:pPr>
      <w:r>
        <w:rPr>
          <w:sz w:val="20"/>
        </w:rPr>
        <w:t xml:space="preserve">Figure 9: Word cloud of top TF-IDF keywords from negative reviews of underperforming product categories.</w:t>
      </w:r>
    </w:p>
    <w:p w14:paraId="001000E8" w14:textId="00100199">
      <w:pPr>
        <w:spacing w:after="320"/>
      </w:pPr>
      <w:r>
        <w:rPr>
          <w:sz w:val="22"/>
        </w:rPr>
        <w:t xml:space="preserve">Root causes span product quality, logistics, packaging, and listing accuracy — not just the product itself.</w:t>
      </w:r>
    </w:p>
    <w:p w14:paraId="001000EA" w14:textId="001000EB">
      <w:pPr/>
    </w:p>
    <w:p w14:paraId="001000EC" w14:textId="001000ED">
      <w:pPr>
        <w:pStyle w:val="Heading1"/>
        <w:spacing w:before="240" w:after="200"/>
      </w:pPr>
      <w:r>
        <w:rPr>
          <w:b/>
          <w:sz w:val="36"/>
        </w:rPr>
        <w:t xml:space="preserve">8. Recommendations to Increase Sales</w:t>
      </w:r>
    </w:p>
    <w:p w14:paraId="001000EE" w14:textId="0010019A">
      <w:pPr>
        <w:spacing w:after="160"/>
      </w:pPr>
      <w:r>
        <w:rPr>
          <w:sz w:val="22"/>
        </w:rPr>
        <w:t xml:space="preserve"/>
      </w:r>
    </w:p>
    <w:p w14:paraId="001000F0" w14:textId="001000F1">
      <w:pPr>
        <w:pStyle w:val="Heading2"/>
        <w:spacing w:before="160" w:after="80"/>
      </w:pPr>
      <w:r>
        <w:rPr>
          <w:b/>
          <w:sz w:val="28"/>
        </w:rPr>
        <w:t xml:space="preserve">8.1 Rationalise Pricing in Overpriced, Low-Rated Categories</w:t>
      </w:r>
    </w:p>
    <w:p w14:paraId="001000F2" w14:textId="0010019B">
      <w:pPr>
        <w:spacing w:after="160"/>
      </w:pPr>
      <w:r>
        <w:rPr>
          <w:sz w:val="22"/>
        </w:rPr>
        <w:t xml:space="preserve">Audit overpriced categories with below-average ratings. Introduce price benchmarking for seller onboarding.</w:t>
      </w:r>
    </w:p>
    <w:p w14:paraId="001000F4" w14:textId="001000F5">
      <w:pPr>
        <w:pStyle w:val="Heading2"/>
        <w:spacing w:before="160" w:after="80"/>
      </w:pPr>
      <w:r>
        <w:rPr>
          <w:b/>
          <w:sz w:val="28"/>
        </w:rPr>
        <w:t xml:space="preserve">8.2 Prioritise Quality Intervention on High-Volume, Low-Rated Products</w:t>
      </w:r>
    </w:p>
    <w:p w14:paraId="001000F6" w14:textId="0010019C">
      <w:pPr>
        <w:spacing w:after="160"/>
      </w:pPr>
      <w:r>
        <w:rPr>
          <w:sz w:val="22"/>
        </w:rPr>
        <w:t xml:space="preserve">Flag high-review-count, low-rated products for seller quality review with a 90-day improvement threshold.</w:t>
      </w:r>
    </w:p>
    <w:p w14:paraId="001000F8" w14:textId="001000F9">
      <w:pPr>
        <w:pStyle w:val="Heading2"/>
        <w:spacing w:before="160" w:after="80"/>
      </w:pPr>
      <w:r>
        <w:rPr>
          <w:b/>
          <w:sz w:val="28"/>
        </w:rPr>
        <w:t xml:space="preserve">8.3 Promote Mid-Range Products More Aggressively</w:t>
      </w:r>
    </w:p>
    <w:p w14:paraId="001000FA" w14:textId="0010019D">
      <w:pPr>
        <w:spacing w:after="160"/>
      </w:pPr>
      <w:r>
        <w:rPr>
          <w:sz w:val="22"/>
        </w:rPr>
        <w:t xml:space="preserve">Surface more mid-range products on homepage. Use 'Best Value' badge for mid-tier items rated above 4.2.</w:t>
      </w:r>
    </w:p>
    <w:p w14:paraId="001000FC" w14:textId="001000FD">
      <w:pPr>
        <w:pStyle w:val="Heading2"/>
        <w:spacing w:before="160" w:after="80"/>
      </w:pPr>
      <w:r>
        <w:rPr>
          <w:b/>
          <w:sz w:val="28"/>
        </w:rPr>
        <w:t xml:space="preserve">8.4 Improve Fulfilment and Packaging for Home and Kitchen Category</w:t>
      </w:r>
    </w:p>
    <w:p w14:paraId="001000FE" w14:textId="0010019E">
      <w:pPr>
        <w:spacing w:after="160"/>
      </w:pPr>
      <w:r>
        <w:rPr>
          <w:sz w:val="22"/>
        </w:rPr>
        <w:t xml:space="preserve">Mandate reinforced packaging for Home &amp; Kitchen. Display 'Flipkart Assured' only for sellers meeting SLA.</w:t>
      </w:r>
    </w:p>
    <w:p w14:paraId="00100100" w14:textId="00100101">
      <w:pPr>
        <w:pStyle w:val="Heading2"/>
        <w:spacing w:before="160" w:after="80"/>
      </w:pPr>
      <w:r>
        <w:rPr>
          <w:b/>
          <w:sz w:val="28"/>
        </w:rPr>
        <w:t xml:space="preserve">8.5 Replicate Success Patterns from High-Performing Categories</w:t>
      </w:r>
    </w:p>
    <w:p w14:paraId="00100102" w14:textId="0010019F">
      <w:pPr>
        <w:spacing w:after="160"/>
      </w:pPr>
      <w:r>
        <w:rPr>
          <w:sz w:val="22"/>
        </w:rPr>
        <w:t xml:space="preserve">Create a seller playbook from Watches and Smartphones top performers. Use as benchmark for onboarding.</w:t>
      </w:r>
    </w:p>
    <w:p w14:paraId="00100104" w14:textId="00100105">
      <w:pPr>
        <w:pStyle w:val="Heading2"/>
        <w:spacing w:before="160" w:after="80"/>
      </w:pPr>
      <w:r>
        <w:rPr>
          <w:b/>
          <w:sz w:val="28"/>
        </w:rPr>
        <w:t xml:space="preserve">8.6 Leverage Sentiment as a Leading Indicator for Early Warning</w:t>
      </w:r>
    </w:p>
    <w:p w14:paraId="00100106" w14:textId="001001A0">
      <w:pPr>
        <w:spacing w:after="160"/>
      </w:pPr>
      <w:r>
        <w:rPr>
          <w:sz w:val="22"/>
        </w:rPr>
        <w:t xml:space="preserve">Alert category managers when negative sentiment crosses 35% for 3+ consecutive days.</w:t>
      </w:r>
    </w:p>
    <w:p w14:paraId="00100108" w14:textId="00100109">
      <w:pPr>
        <w:pStyle w:val="Heading2"/>
        <w:spacing w:before="160" w:after="80"/>
      </w:pPr>
      <w:r>
        <w:rPr>
          <w:b/>
          <w:sz w:val="28"/>
        </w:rPr>
        <w:t xml:space="preserve">8.7 Address Expectation Mismatches Through Better Product Content</w:t>
      </w:r>
    </w:p>
    <w:p w14:paraId="0010010A" w14:textId="001001A1">
      <w:pPr>
        <w:spacing w:after="320"/>
      </w:pPr>
      <w:r>
        <w:rPr>
          <w:sz w:val="22"/>
        </w:rPr>
        <w:t xml:space="preserve">Mandate size charts, colour swatches, and multi-angle images for Clothing, Footwear, and Home Decor listings.</w:t>
      </w:r>
    </w:p>
    <w:p w14:paraId="0010010C" w14:textId="0010010D">
      <w:pPr/>
    </w:p>
    <w:p w14:paraId="0010010E" w14:textId="0010010F">
      <w:pPr>
        <w:pStyle w:val="Heading1"/>
        <w:spacing w:before="240" w:after="200"/>
      </w:pPr>
      <w:r>
        <w:rPr>
          <w:b/>
          <w:sz w:val="36"/>
        </w:rPr>
        <w:t xml:space="preserve">9. Notebook and Interactive Demo Screenshots</w:t>
      </w:r>
    </w:p>
    <w:p w14:paraId="00100110" w14:textId="001001A2">
      <w:pPr>
        <w:spacing w:after="160"/>
      </w:pPr>
      <w:r>
        <w:rPr>
          <w:sz w:val="22"/>
        </w:rPr>
        <w:t xml:space="preserve">Built as analysis.ipynb (33 cells, 10 sections) and analysis.py (Streamlit app). Section 10 provides an interactive explorer with Category dropdown, Min Reviews slider, and Top/Bottom toggle.</w:t>
      </w:r>
    </w:p>
    <w:p w14:paraId="00100162" w14:textId="0010016D">
      <w:pPr>
        <w:spacing w:line="240" w:lineRule="auto"/>
        <w:jc w:val="center"/>
      </w:pPr>
      <w:r>
        <w:rPr/>
        <w:drawing>
          <wp:inline distT="0" distB="0" distL="0" distR="0">
            <wp:extent cx="5400000" cy="1887656"/>
            <wp:effectExtent l="0" t="0" r="0" b="0"/>
            <wp:docPr id="10" name="notebook_widget_demo.png" descr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" name="notebook_widget_demo.png"/>
                    <pic:cNvPicPr/>
                  </pic:nvPicPr>
                  <pic:blipFill>
                    <a:blip r:embed="R1b9c2b62be5c49ed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8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0114" w14:textId="00100115">
      <w:pPr>
        <w:spacing w:after="320"/>
        <w:jc w:val="center"/>
      </w:pPr>
      <w:r>
        <w:rPr>
          <w:sz w:val="20"/>
        </w:rPr>
        <w:t xml:space="preserve">Figure 10: ipywidgets interactive dashboard in Section 10 of analysis.ipynb — category dropdown, review count slider, and top/bottom radio button in action.</w:t>
      </w:r>
    </w:p>
    <w:p w14:paraId="00100116" w14:textId="00100117">
      <w:pPr/>
    </w:p>
    <w:p w14:paraId="00100118" w14:textId="00100119">
      <w:pPr>
        <w:pStyle w:val="Heading1"/>
        <w:spacing w:before="240" w:after="200"/>
      </w:pPr>
      <w:r>
        <w:rPr>
          <w:b/>
          <w:sz w:val="36"/>
        </w:rPr>
        <w:t xml:space="preserve">10. Conclusion and Limitations</w:t>
      </w:r>
    </w:p>
    <w:p w14:paraId="0010011A" w14:textId="0010011B">
      <w:pPr>
        <w:pStyle w:val="Heading2"/>
        <w:spacing w:before="160" w:after="120"/>
      </w:pPr>
      <w:r>
        <w:rPr>
          <w:b/>
          <w:sz w:val="28"/>
        </w:rPr>
        <w:t xml:space="preserve">10.1 Conclusion</w:t>
      </w:r>
    </w:p>
    <w:p w14:paraId="0010011C" w14:textId="001001A3">
      <w:pPr>
        <w:spacing w:after="160"/>
      </w:pPr>
      <w:r>
        <w:rPr>
          <w:sz w:val="22"/>
        </w:rPr>
        <w:t xml:space="preserve">Positive sentiment is the strongest predictor of high ratings. Mid-range products satisfy customers best. Root causes of underperformance include quality, packaging, and listing accuracy.</w:t>
      </w:r>
    </w:p>
    <w:p w14:paraId="0010011E" w14:textId="001001A4">
      <w:pPr>
        <w:spacing w:after="200"/>
      </w:pPr>
      <w:r>
        <w:rPr>
          <w:sz w:val="22"/>
        </w:rPr>
        <w:t xml:space="preserve"/>
      </w:r>
    </w:p>
    <w:p w14:paraId="00100120" w14:textId="00100121">
      <w:pPr>
        <w:pStyle w:val="Heading2"/>
        <w:spacing w:before="160" w:after="120"/>
      </w:pPr>
      <w:r>
        <w:rPr>
          <w:b/>
          <w:sz w:val="28"/>
        </w:rPr>
        <w:t xml:space="preserve">10.2 Limitations</w:t>
      </w:r>
    </w:p>
    <w:p w14:paraId="00100122" w14:textId="001001A5">
      <w:pPr>
        <w:numPr>
          <w:ilvl w:val="0"/>
          <w:numId w:val="6"/>
        </w:numPr>
        <w:spacing w:after="80"/>
      </w:pPr>
      <w:r>
        <w:rPr>
          <w:sz w:val="22"/>
        </w:rPr>
        <w:t xml:space="preserve">• Sentiment labels are pre-assigned by the dataset publisher — accuracy unverified.</w:t>
      </w:r>
    </w:p>
    <w:p w14:paraId="00100124" w14:textId="001001A6">
      <w:pPr>
        <w:numPr>
          <w:ilvl w:val="0"/>
          <w:numId w:val="6"/>
        </w:numPr>
        <w:spacing w:after="80"/>
      </w:pPr>
      <w:r>
        <w:rPr>
          <w:sz w:val="22"/>
        </w:rPr>
        <w:t xml:space="preserve">• Dataset is a static scrape; seasonal and promotional shifts are not captured.</w:t>
      </w:r>
    </w:p>
    <w:p w14:paraId="00100126" w14:textId="001001A7">
      <w:pPr>
        <w:numPr>
          <w:ilvl w:val="0"/>
          <w:numId w:val="6"/>
        </w:numPr>
        <w:spacing w:after="80"/>
      </w:pPr>
      <w:r>
        <w:rPr>
          <w:sz w:val="22"/>
        </w:rPr>
        <w:t xml:space="preserve">• Keyword-based category assignment may misclassify edge cases.</w:t>
      </w:r>
    </w:p>
    <w:p w14:paraId="00100128" w14:textId="001001A8">
      <w:pPr>
        <w:numPr>
          <w:ilvl w:val="0"/>
          <w:numId w:val="6"/>
        </w:numPr>
        <w:spacing w:after="80"/>
      </w:pPr>
      <w:r>
        <w:rPr>
          <w:sz w:val="22"/>
        </w:rPr>
        <w:t xml:space="preserve">• Review count is used as a proxy for sales volume, which is an approximation.</w:t>
      </w:r>
    </w:p>
    <w:p w14:paraId="0010012C" w14:textId="0010012D">
      <w:pPr/>
    </w:p>
    <w:sectPr>
      <w:footerReference w:type="default" r:id="R55fbcfe0130e4fa9"/>
      <w:pgSz w:w="11906" w:h="16838"/>
      <w:pgMar w:top="1440" w:right="1800" w:bottom="1440" w:left="1800"/>
      <w:docGrid w:type="default"/>
    </w:sectPr>
  </w:body>
</w:document>
</file>

<file path=word/footer1.xml><?xml version="1.0" encoding="utf-8"?>
<w:ftr xmlns:mc="http://schemas.openxmlformats.org/markup-compatibility/2006" xmlns:w14="http://schemas.microsoft.com/office/word/2010/wordml" xmlns:w="http://schemas.openxmlformats.org/wordprocessingml/2006/main" mc:Ignorable="w14">
  <w:p w14:paraId="00100144" w14:textId="00100145">
    <w:pPr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 xml:space="preserve">1</w:t>
    </w:r>
    <w:r>
      <w:rPr>
        <w:sz w:val="20"/>
      </w:rP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5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◦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◦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uiPriority w:val="10"/>
    <w:qFormat/>
    <w:pPr>
      <w:spacing w:after="0" w:line="240" w:lineRule="auto"/>
      <w:contextualSpacing/>
    </w:pPr>
    <w:rPr>
      <w:rFonts w:asciiTheme="majorHAnsi" w:hAnsiTheme="majorHAnsi" w:eastAsiaTheme="majorEastAsia" w:cstheme="majorBidi"/>
      <w:color w:val="5A5A5A"/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496"/>
      <w:sz w:val="26"/>
      <w:szCs w:val="26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70efad1b3c64d3e" /><Relationship Type="http://schemas.openxmlformats.org/officeDocument/2006/relationships/styles" Target="/word/styles.xml" Id="Rae63dcf03c4d4b60" /><Relationship Type="http://schemas.openxmlformats.org/officeDocument/2006/relationships/theme" Target="/word/theme/theme1.xml" Id="Ra230182598a84e4a" /><Relationship Type="http://schemas.openxmlformats.org/officeDocument/2006/relationships/numbering" Target="/word/numbering.xml" Id="Rb5df7d3bb50945af" /><Relationship Type="http://schemas.openxmlformats.org/officeDocument/2006/relationships/footer" Target="/word/footer1.xml" Id="R55fbcfe0130e4fa9" /><Relationship Type="http://schemas.openxmlformats.org/officeDocument/2006/relationships/image" Target="/media/image.png" Id="R09dfd1f855c84e33" /><Relationship Type="http://schemas.openxmlformats.org/officeDocument/2006/relationships/image" Target="/media/image2.png" Id="R07066e29db364fe5" /><Relationship Type="http://schemas.openxmlformats.org/officeDocument/2006/relationships/image" Target="/media/image3.png" Id="R8099b0238e014164" /><Relationship Type="http://schemas.openxmlformats.org/officeDocument/2006/relationships/image" Target="/media/image4.png" Id="R2d4b1d03a63a422a" /><Relationship Type="http://schemas.openxmlformats.org/officeDocument/2006/relationships/image" Target="/media/image5.png" Id="R4a05e951a32f45f8" /><Relationship Type="http://schemas.openxmlformats.org/officeDocument/2006/relationships/image" Target="/media/image6.png" Id="R1f169b08c7a248bc" /><Relationship Type="http://schemas.openxmlformats.org/officeDocument/2006/relationships/image" Target="/media/image7.png" Id="R2e98b2f9fadd4369" /><Relationship Type="http://schemas.openxmlformats.org/officeDocument/2006/relationships/image" Target="/media/image8.png" Id="R4e32badad643401d" /><Relationship Type="http://schemas.openxmlformats.org/officeDocument/2006/relationships/image" Target="/media/image9.png" Id="Rf615500bb60843aa" /><Relationship Type="http://schemas.openxmlformats.org/officeDocument/2006/relationships/image" Target="/media/image10.png" Id="R1b9c2b62be5c49ed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OfficeCLI/1.0.144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2026-09-22T16:28:16Z</dcterms:created>
  <cp:lastModifiedBy>OfficeCLI</cp:lastModifiedBy>
  <dcterms:modified xsi:type="dcterms:W3CDTF">2026-09-22T16:28:16Z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1.0.152</vt:lpwstr>
  </op:property>
  <op:property fmtid="{D5CDD505-2E9C-101B-9397-08002B2CF9AE}" pid="3" name="OfficeCLI.LastModified">
    <vt:lpwstr xmlns:vt="http://schemas.openxmlformats.org/officeDocument/2006/docPropsVTypes">2026-09-23T08:09:07Z</vt:lpwstr>
  </op:property>
</op:Properties>
</file>