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Phase A: Neural Network Baseline</w:t>
      </w:r>
    </w:p>
    <w:p>
      <w:r>
        <w:t>Held-out evaluation on development-only synthetic data</w:t>
        <w:br/>
        <w:t>Generated 2026-10-24 15:59</w:t>
      </w:r>
    </w:p>
    <w:p>
      <w:r>
        <w:rPr>
          <w:b/>
        </w:rPr>
        <w:t>WARNING: GENERATED FROM SIMULATED / TEST DATA (pipeline test). Do not use any number in the thesis or paper.</w:t>
      </w:r>
    </w:p>
    <w:p>
      <w:pPr>
        <w:pStyle w:val="Heading1"/>
      </w:pPr>
      <w:r>
        <w:t>1. Architecture and training</w:t>
      </w:r>
    </w:p>
    <w:p>
      <w:r>
        <w:t>The classifier is Dense(16, relu) -&gt; Dense(8, relu) -&gt; Dense(1, sigmoid), with binary cross-entropy and Adam. The three inputs were normalized using statistics fitted on the training split only. Class weighting addresses the approximately 92/8 normal/anomaly imbalance. Validation data was held out from the training split, and early stopping restored the best validation-loss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Parameters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Training rows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3200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Validation rows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800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Epochs run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65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Class weight anomaly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11.500</w:t>
            </w:r>
          </w:p>
        </w:tc>
      </w:tr>
    </w:tbl>
    <w:p>
      <w:pPr>
        <w:pStyle w:val="Heading1"/>
      </w:pPr>
      <w:r>
        <w:t>2. Held-out test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Accuracy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0.9330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Precision (anomaly)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0.5442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Recall (anomaly)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1.0000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F1 (anomaly)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0.7048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ROC-AUC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0.9793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_nn_tra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Training and validation loss.</w:t>
      </w:r>
    </w:p>
    <w:p>
      <w:r>
        <w:drawing>
          <wp:inline xmlns:a="http://schemas.openxmlformats.org/drawingml/2006/main" xmlns:pic="http://schemas.openxmlformats.org/drawingml/2006/picture">
            <wp:extent cx="3474720" cy="2911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_nn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1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Confusion matrix; rows are actual labels, columns are predictions.</w:t>
      </w:r>
    </w:p>
    <w:p>
      <w:pPr>
        <w:pStyle w:val="Heading1"/>
      </w:pPr>
      <w:r>
        <w:t>3. Interpretation limit</w:t>
      </w:r>
    </w:p>
    <w:p>
      <w:r>
        <w:t>These metrics describe a neural network evaluated against labels generated by the development simulator. They do not measure real-world sensor anomaly detection and must not be cited as thesis or paper results.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