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 2 Phase A: Random Forest Baseline</w:t>
      </w:r>
    </w:p>
    <w:p>
      <w:r>
        <w:t>Held-out evaluation on development-only synthetic data</w:t>
        <w:br/>
        <w:t>Generated 2026-10-24 15:39</w:t>
      </w:r>
    </w:p>
    <w:p>
      <w:r>
        <w:rPr>
          <w:b/>
        </w:rPr>
        <w:t>WARNING: GENERATED FROM SIMULATED / TEST DATA (pipeline test). Do not use any number in the thesis or paper.</w:t>
      </w:r>
    </w:p>
    <w:p>
      <w:pPr>
        <w:pStyle w:val="Heading1"/>
      </w:pPr>
      <w:r>
        <w:t>1. Method</w:t>
      </w:r>
    </w:p>
    <w:p>
      <w:r>
        <w:t>A class-weighted RandomForestClassifier was fitted on the 4,000-row training split. The 1,000-row test split was used only for evaluation. Features were temperature, humidity, and PIR; anomaly was the positive class. The decision threshold is 0.5.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Held-out test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Accuracy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0.9400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Precision (anomaly)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0.6020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Recall (anomaly)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0.7375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F1 (anomaly)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0.6629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ROC-AUC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0.9794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474720" cy="2911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v_rf_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911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Confusion matrix; rows are actual labels, columns are predictions.</w:t>
      </w:r>
    </w:p>
    <w:p>
      <w:pPr>
        <w:pStyle w:val="Heading1"/>
      </w:pPr>
      <w:r>
        <w:t>2. Interpretation limit</w:t>
      </w:r>
    </w:p>
    <w:p>
      <w:r>
        <w:t>These metrics describe a classifier evaluated against labels generated by the development simulator. They do not measure real-world sensor anomaly detection and must not be cited as thesis or paper results. Replace the development data with the project dataset before drawing performance conclusions.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