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864"/>
          <w:sz w:val="28"/>
        </w:rPr>
        <w:t>Ball-Joint Formulation: Failure of Rigid Joints and Scaling Potential of Compliant Bushings</w:t>
      </w:r>
    </w:p>
    <w:p>
      <w:pPr>
        <w:spacing w:after="80"/>
        <w:jc w:val="center"/>
      </w:pPr>
      <w:r>
        <w:rPr>
          <w:i/>
          <w:color w:val="595959"/>
          <w:sz w:val="18"/>
        </w:rPr>
        <w:t>Octahedral Lattice Simulation  ·  Memo  ·  2026-04-21</w:t>
      </w:r>
    </w:p>
    <w:p>
      <w:pPr>
        <w:spacing w:before="120" w:after="40"/>
      </w:pPr>
      <w:r>
        <w:rPr>
          <w:b/>
          <w:color w:val="1F3864"/>
          <w:sz w:val="22"/>
        </w:rPr>
        <w:t>1.  Context</w:t>
      </w:r>
    </w:p>
    <w:p>
      <w:pPr>
        <w:spacing w:after="40"/>
      </w:pPr>
      <w:r>
        <w:rPr>
          <w:b w:val="0"/>
          <w:i w:val="0"/>
          <w:sz w:val="20"/>
        </w:rPr>
        <w:t>A regular grid of rigid octahedra (edge a = 1, spacing a·√2) is coupled at shared vertices. Whether each coupling is a kinematic ball joint (ChLinkLockSpherical) or a compliant spherical bushing (ChLoadBodyBodyBushingSpherical) determines whether the Jacobian Φ_q loses rank as the grid scales. This memo closes the question for 3×3×3, 4×4×4, and 5×5×5 using progress-log evidence from 2x2x3_simulation/progress/ and 3x3x3_simulation/progress/setup333.md.</w:t>
      </w:r>
    </w:p>
    <w:p>
      <w:pPr>
        <w:spacing w:before="120" w:after="40"/>
      </w:pPr>
      <w:r>
        <w:rPr>
          <w:b/>
          <w:color w:val="1F3864"/>
          <w:sz w:val="22"/>
        </w:rPr>
        <w:t>2.  Governing DOF Equation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F = 6B − rank(Φ_q)</w:t>
      </w:r>
    </w:p>
    <w:p>
      <w:pPr>
        <w:spacing w:after="40"/>
      </w:pPr>
      <w:r>
        <w:rPr>
          <w:b w:val="0"/>
          <w:i w:val="0"/>
          <w:sz w:val="20"/>
        </w:rPr>
        <w:t>Rigid joint: 3 scalar constraints per coupling added to Φ_q →  F_rigid ≤ 6B − 3J  (upper bound; loop redundancy makes true rank lower).  Bushing: three translational springs on the RHS of  M·v̇ = f  →  zero rows in Φ_q  →  F_bushing = 6B (structural over-constraint eliminated by construction).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792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type="dxa" w:w="792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N_oct</w:t>
            </w:r>
          </w:p>
        </w:tc>
        <w:tc>
          <w:tcPr>
            <w:tcW w:type="dxa" w:w="936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J_inter</w:t>
            </w:r>
          </w:p>
        </w:tc>
        <w:tc>
          <w:tcPr>
            <w:tcW w:type="dxa" w:w="2232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F_oct  (rigid, 6N − 3J)</w:t>
            </w:r>
          </w:p>
        </w:tc>
        <w:tc>
          <w:tcPr>
            <w:tcW w:type="dxa" w:w="1944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F_oct  (bushing, 6N)</w:t>
            </w:r>
          </w:p>
        </w:tc>
        <w:tc>
          <w:tcPr>
            <w:tcW w:type="dxa" w:w="2448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Rigid outcome</w:t>
            </w:r>
          </w:p>
        </w:tc>
      </w:tr>
      <w:tr>
        <w:tc>
          <w:tcPr>
            <w:tcW w:type="dxa" w:w="79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2×2×3</w:t>
            </w:r>
          </w:p>
        </w:tc>
        <w:tc>
          <w:tcPr>
            <w:tcW w:type="dxa" w:w="79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9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223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+12</w:t>
            </w:r>
          </w:p>
        </w:tc>
        <w:tc>
          <w:tcPr>
            <w:tcW w:type="dxa" w:w="19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+72</w:t>
            </w:r>
          </w:p>
        </w:tc>
        <w:tc>
          <w:tcPr>
            <w:tcW w:type="dxa" w:w="24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Slack — buckling succeeds</w:t>
            </w:r>
          </w:p>
        </w:tc>
      </w:tr>
      <w:tr>
        <w:tc>
          <w:tcPr>
            <w:tcW w:type="dxa" w:w="79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3×3×3</w:t>
            </w:r>
          </w:p>
        </w:tc>
        <w:tc>
          <w:tcPr>
            <w:tcW w:type="dxa" w:w="79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27</w:t>
            </w:r>
          </w:p>
        </w:tc>
        <w:tc>
          <w:tcPr>
            <w:tcW w:type="dxa" w:w="936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54</w:t>
            </w:r>
          </w:p>
        </w:tc>
        <w:tc>
          <w:tcPr>
            <w:tcW w:type="dxa" w:w="223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 xml:space="preserve">  0</w:t>
            </w:r>
          </w:p>
        </w:tc>
        <w:tc>
          <w:tcPr>
            <w:tcW w:type="dxa" w:w="1944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+162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Boundary — no buckling mode</w:t>
            </w:r>
          </w:p>
        </w:tc>
      </w:tr>
      <w:tr>
        <w:tc>
          <w:tcPr>
            <w:tcW w:type="dxa" w:w="79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4×4×4</w:t>
            </w:r>
          </w:p>
        </w:tc>
        <w:tc>
          <w:tcPr>
            <w:tcW w:type="dxa" w:w="79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64</w:t>
            </w:r>
          </w:p>
        </w:tc>
        <w:tc>
          <w:tcPr>
            <w:tcW w:type="dxa" w:w="9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144</w:t>
            </w:r>
          </w:p>
        </w:tc>
        <w:tc>
          <w:tcPr>
            <w:tcW w:type="dxa" w:w="223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−48</w:t>
            </w:r>
          </w:p>
        </w:tc>
        <w:tc>
          <w:tcPr>
            <w:tcW w:type="dxa" w:w="19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+384</w:t>
            </w:r>
          </w:p>
        </w:tc>
        <w:tc>
          <w:tcPr>
            <w:tcW w:type="dxa" w:w="24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Deep overconstraint</w:t>
            </w:r>
          </w:p>
        </w:tc>
      </w:tr>
      <w:tr>
        <w:tc>
          <w:tcPr>
            <w:tcW w:type="dxa" w:w="79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5×5×5</w:t>
            </w:r>
          </w:p>
        </w:tc>
        <w:tc>
          <w:tcPr>
            <w:tcW w:type="dxa" w:w="79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125</w:t>
            </w:r>
          </w:p>
        </w:tc>
        <w:tc>
          <w:tcPr>
            <w:tcW w:type="dxa" w:w="936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300</w:t>
            </w:r>
          </w:p>
        </w:tc>
        <w:tc>
          <w:tcPr>
            <w:tcW w:type="dxa" w:w="223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−150</w:t>
            </w:r>
          </w:p>
        </w:tc>
        <w:tc>
          <w:tcPr>
            <w:tcW w:type="dxa" w:w="1944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+750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Solver cannot close</w:t>
            </w:r>
          </w:p>
        </w:tc>
      </w:tr>
    </w:tbl>
    <w:p>
      <w:pPr>
        <w:spacing w:after="80"/>
      </w:pPr>
      <w:r>
        <w:rPr>
          <w:b w:val="0"/>
          <w:i/>
          <w:sz w:val="17"/>
        </w:rPr>
        <w:t>Table 1.  Grübler–Kutzbach accounting for the octahedron-only subsystem (sphere BCs excluded). The rigid column crosses zero at 3×3×3 and diverges thereafter; the bushing column grows as 6·N_oct.</w:t>
      </w:r>
    </w:p>
    <w:p>
      <w:pPr>
        <w:spacing w:before="120" w:after="40"/>
      </w:pPr>
      <w:r>
        <w:rPr>
          <w:b/>
          <w:color w:val="1F3864"/>
          <w:sz w:val="22"/>
        </w:rPr>
        <w:t>3.  Observed Failure of the Rigid Joint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792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type="dxa" w:w="2232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Progress source</w:t>
            </w:r>
          </w:p>
        </w:tc>
        <w:tc>
          <w:tcPr>
            <w:tcW w:type="dxa" w:w="4320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Observed</w:t>
            </w:r>
          </w:p>
        </w:tc>
        <w:tc>
          <w:tcPr>
            <w:tcW w:type="dxa" w:w="1872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Consistent with</w:t>
            </w:r>
          </w:p>
        </w:tc>
      </w:tr>
      <w:tr>
        <w:tc>
          <w:tcPr>
            <w:tcW w:type="dxa" w:w="79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2×2×3</w:t>
            </w:r>
          </w:p>
        </w:tc>
        <w:tc>
          <w:tcPr>
            <w:tcW w:type="dxa" w:w="223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scaler.md (2026-04-03)</w:t>
            </w:r>
          </w:p>
        </w:tc>
        <w:tc>
          <w:tcPr>
            <w:tcW w:type="dxa" w:w="43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All 5 seeds buckle to 145–179° by t = 5 s</w:t>
            </w:r>
          </w:p>
        </w:tc>
        <w:tc>
          <w:tcPr>
            <w:tcW w:type="dxa" w:w="187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F_oct = +12, modes accessible</w:t>
            </w:r>
          </w:p>
        </w:tc>
      </w:tr>
      <w:tr>
        <w:tc>
          <w:tcPr>
            <w:tcW w:type="dxa" w:w="79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3×3×3</w:t>
            </w:r>
          </w:p>
        </w:tc>
        <w:tc>
          <w:tcPr>
            <w:tcW w:type="dxa" w:w="223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setup333.md (2026-04-12)</w:t>
            </w:r>
          </w:p>
        </w:tc>
        <w:tc>
          <w:tcPr>
            <w:tcW w:type="dxa" w:w="4320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Max tilt 0.033° across 27 octs; col (0,0) rigid-block drift 0.021° at t = 10 s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F_oct = 0, no rigid mode</w:t>
            </w:r>
          </w:p>
        </w:tc>
      </w:tr>
      <w:tr>
        <w:tc>
          <w:tcPr>
            <w:tcW w:type="dxa" w:w="79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5×5×5</w:t>
            </w:r>
          </w:p>
        </w:tc>
        <w:tc>
          <w:tcPr>
            <w:tcW w:type="dxa" w:w="223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joint_overconstraint_report.md §4</w:t>
            </w:r>
          </w:p>
        </w:tc>
        <w:tc>
          <w:tcPr>
            <w:tcW w:type="dxa" w:w="43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Predicted unsolvable; rank(Φ_q) ≪ 3·J</w:t>
            </w:r>
          </w:p>
        </w:tc>
        <w:tc>
          <w:tcPr>
            <w:tcW w:type="dxa" w:w="187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F_oct = −150</w:t>
            </w:r>
          </w:p>
        </w:tc>
      </w:tr>
    </w:tbl>
    <w:p>
      <w:pPr>
        <w:spacing w:after="120"/>
      </w:pPr>
      <w:r>
        <w:rPr>
          <w:b w:val="0"/>
          <w:i/>
          <w:sz w:val="18"/>
        </w:rPr>
        <w:t>setup333.md, verbatim: “All three heights move as a rigid column — tilt values identical to 4 decimal places… Structure resists buckling by being kinematically rigid, not by being stiff.” This is the direct empirical confirmation of the DOF prediction in Table 1.</w:t>
      </w:r>
    </w:p>
    <w:p>
      <w:pPr>
        <w:spacing w:before="120" w:after="40"/>
      </w:pPr>
      <w:r>
        <w:rPr>
          <w:b/>
          <w:color w:val="1F3864"/>
          <w:sz w:val="22"/>
        </w:rPr>
        <w:t>4.  Compliant Bushing:  Formulation and 2×2×3 Evidence</w:t>
      </w:r>
    </w:p>
    <w:p>
      <w:pPr>
        <w:spacing w:after="40"/>
      </w:pPr>
      <w:r>
        <w:rPr>
          <w:b w:val="0"/>
          <w:i w:val="0"/>
          <w:sz w:val="20"/>
        </w:rPr>
        <w:t>Couplings replaced at the same 28 shared vertices; topology invariant. Parameters (physics.md, scaler.md, 2026-04-21):  K = 1·10⁴ N/m,  C = 1·10² N·s/m  per bushing triad.  Damping ratio and static deflection per column, with m = 1 kg and F = 3 N: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ζ  =  C / (2·√(mK))  =  100 / (2·√(10⁴))  =  0.5        δ_static  =  F / K  =  3·10⁻⁴ m   (≪ 0.1 m tol.)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48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Seed</w:t>
            </w:r>
          </w:p>
        </w:tc>
        <w:tc>
          <w:tcPr>
            <w:tcW w:type="dxa" w:w="1584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Peak tilt (°)</w:t>
            </w:r>
          </w:p>
        </w:tc>
        <w:tc>
          <w:tcPr>
            <w:tcW w:type="dxa" w:w="1728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Top-sphere Δz</w:t>
            </w:r>
          </w:p>
        </w:tc>
        <w:tc>
          <w:tcPr>
            <w:tcW w:type="dxa" w:w="1872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Stop condition</w:t>
            </w:r>
          </w:p>
        </w:tc>
        <w:tc>
          <w:tcPr>
            <w:tcW w:type="dxa" w:w="3384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6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55.2–55.5</w:t>
            </w:r>
          </w:p>
        </w:tc>
        <w:tc>
          <w:tcPr>
            <w:tcW w:type="dxa" w:w="17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12 mm</w:t>
            </w:r>
          </w:p>
        </w:tc>
        <w:tc>
          <w:tcPr>
            <w:tcW w:type="dxa" w:w="187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KE equilibrium</w:t>
            </w:r>
          </w:p>
        </w:tc>
        <w:tc>
          <w:tcPr>
            <w:tcW w:type="dxa" w:w="33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Buckling + F/K load transfer</w:t>
            </w:r>
          </w:p>
        </w:tc>
      </w:tr>
      <w:tr>
        <w:tc>
          <w:tcPr>
            <w:tcW w:type="dxa" w:w="648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4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55.2–55.5</w:t>
            </w:r>
          </w:p>
        </w:tc>
        <w:tc>
          <w:tcPr>
            <w:tcW w:type="dxa" w:w="1728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12 mm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Time cap</w:t>
            </w:r>
          </w:p>
        </w:tc>
        <w:tc>
          <w:tcPr>
            <w:tcW w:type="dxa" w:w="3384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Buckling + F/K load transfer</w:t>
            </w:r>
          </w:p>
        </w:tc>
      </w:tr>
      <w:tr>
        <w:tc>
          <w:tcPr>
            <w:tcW w:type="dxa" w:w="6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&lt; 0.05</w:t>
            </w:r>
          </w:p>
        </w:tc>
        <w:tc>
          <w:tcPr>
            <w:tcW w:type="dxa" w:w="17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12 mm (static)</w:t>
            </w:r>
          </w:p>
        </w:tc>
        <w:tc>
          <w:tcPr>
            <w:tcW w:type="dxa" w:w="187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Time cap</w:t>
            </w:r>
          </w:p>
        </w:tc>
        <w:tc>
          <w:tcPr>
            <w:tcW w:type="dxa" w:w="33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Stable basin — legitimate, not a bug</w:t>
            </w:r>
          </w:p>
        </w:tc>
      </w:tr>
      <w:tr>
        <w:tc>
          <w:tcPr>
            <w:tcW w:type="dxa" w:w="648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4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55.2–55.5</w:t>
            </w:r>
          </w:p>
        </w:tc>
        <w:tc>
          <w:tcPr>
            <w:tcW w:type="dxa" w:w="1728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12 mm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KE equilibrium</w:t>
            </w:r>
          </w:p>
        </w:tc>
        <w:tc>
          <w:tcPr>
            <w:tcW w:type="dxa" w:w="3384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Buckling + F/K load transfer</w:t>
            </w:r>
          </w:p>
        </w:tc>
      </w:tr>
      <w:tr>
        <w:tc>
          <w:tcPr>
            <w:tcW w:type="dxa" w:w="6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55.2–55.5</w:t>
            </w:r>
          </w:p>
        </w:tc>
        <w:tc>
          <w:tcPr>
            <w:tcW w:type="dxa" w:w="17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12 mm</w:t>
            </w:r>
          </w:p>
        </w:tc>
        <w:tc>
          <w:tcPr>
            <w:tcW w:type="dxa" w:w="187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Time cap</w:t>
            </w:r>
          </w:p>
        </w:tc>
        <w:tc>
          <w:tcPr>
            <w:tcW w:type="dxa" w:w="33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Buckling + F/K load transfer</w:t>
            </w:r>
          </w:p>
        </w:tc>
      </w:tr>
    </w:tbl>
    <w:p>
      <w:pPr>
        <w:spacing w:after="80"/>
      </w:pPr>
      <w:r>
        <w:rPr>
          <w:b w:val="0"/>
          <w:i/>
          <w:sz w:val="17"/>
        </w:rPr>
        <w:t>Table 2.  change_2 sweep (bushing_K1e4_F3_P0_1), source physics.md + gui-viz.md (2026-04-21). The uniform 12 mm settle matches the predicted F/K compression summed through the column — direct evidence that the bushing carries load as a 3-axis spring, not as a free or broken coupling.</w:t>
      </w:r>
    </w:p>
    <w:p>
      <w:pPr>
        <w:spacing w:before="120" w:after="40"/>
      </w:pPr>
      <w:r>
        <w:rPr>
          <w:b/>
          <w:color w:val="1F3864"/>
          <w:sz w:val="22"/>
        </w:rPr>
        <w:t>5.  Secondary Bottlenecks at Scale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64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3672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Observed / estimated</w:t>
            </w:r>
          </w:p>
        </w:tc>
        <w:tc>
          <w:tcPr>
            <w:tcW w:type="dxa" w:w="1872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008"/>
            <w:shd w:val="clear" w:color="auto" w:fill="1F38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Scales cleanly to 5×5×5?</w:t>
            </w:r>
          </w:p>
        </w:tc>
      </w:tr>
      <w:tr>
        <w:tc>
          <w:tcPr>
            <w:tcW w:type="dxa" w:w="26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Solver admits K,C matrices</w:t>
            </w:r>
          </w:p>
        </w:tc>
        <w:tc>
          <w:tcPr>
            <w:tcW w:type="dxa" w:w="367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ChSolverPSOR fails; ADMM accepts</w:t>
            </w:r>
          </w:p>
        </w:tc>
        <w:tc>
          <w:tcPr>
            <w:tcW w:type="dxa" w:w="187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Switched to ChSolverADMM (sim.py L294)</w:t>
            </w:r>
          </w:p>
        </w:tc>
        <w:tc>
          <w:tcPr>
            <w:tcW w:type="dxa" w:w="10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664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Stiffness-limited dt</w:t>
            </w:r>
          </w:p>
        </w:tc>
        <w:tc>
          <w:tcPr>
            <w:tcW w:type="dxa" w:w="367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dt_crit ≈ 2·√(m/K) ≈ 2·10⁻² s; current 5·10⁻⁵ → 400× margin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 change needed</w:t>
            </w:r>
          </w:p>
        </w:tc>
        <w:tc>
          <w:tcPr>
            <w:tcW w:type="dxa" w:w="1008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6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Wall-clock per step</w:t>
            </w:r>
          </w:p>
        </w:tc>
        <w:tc>
          <w:tcPr>
            <w:tcW w:type="dxa" w:w="367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~2–3× PSOR→ADMM; O(B+J) per step</w:t>
            </w:r>
          </w:p>
        </w:tc>
        <w:tc>
          <w:tcPr>
            <w:tcW w:type="dxa" w:w="187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Acceptable</w:t>
            </w:r>
          </w:p>
        </w:tc>
        <w:tc>
          <w:tcPr>
            <w:tcW w:type="dxa" w:w="10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Yes — linear in body count</w:t>
            </w:r>
          </w:p>
        </w:tc>
      </w:tr>
      <w:tr>
        <w:tc>
          <w:tcPr>
            <w:tcW w:type="dxa" w:w="2664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Render / Metal GPU memory</w:t>
            </w:r>
          </w:p>
        </w:tc>
        <w:tc>
          <w:tcPr>
            <w:tcW w:type="dxa" w:w="367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PyVista leaks between CSVs in one process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 subprocess per CSV (gui-viz.md, 2026-04-21)</w:t>
            </w:r>
          </w:p>
        </w:tc>
        <w:tc>
          <w:tcPr>
            <w:tcW w:type="dxa" w:w="1008"/>
            <w:shd w:val="clear" w:color="auto" w:fill="F2F2F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6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Column-stack δ_static vs 0.1 m tol.</w:t>
            </w:r>
          </w:p>
        </w:tc>
        <w:tc>
          <w:tcPr>
            <w:tcW w:type="dxa" w:w="367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5×5×5 @ K=10⁴, F=0.5 N/col/layer: ~2·10⁻⁴ m</w:t>
            </w:r>
          </w:p>
        </w:tc>
        <w:tc>
          <w:tcPr>
            <w:tcW w:type="dxa" w:w="187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 stop-condition collision</w:t>
            </w:r>
          </w:p>
        </w:tc>
        <w:tc>
          <w:tcPr>
            <w:tcW w:type="dxa" w:w="10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Yes</w:t>
            </w:r>
          </w:p>
        </w:tc>
      </w:tr>
    </w:tbl>
    <w:p>
      <w:pPr>
        <w:spacing w:after="120"/>
      </w:pPr>
      <w:r>
        <w:rPr>
          <w:b w:val="0"/>
          <w:i/>
          <w:sz w:val="17"/>
        </w:rPr>
        <w:t>Table 3.  Every remaining bottleneck is either numerical (dt, solver) or throughput (render), not structural. None scales faster than the body count.</w:t>
      </w:r>
    </w:p>
    <w:p>
      <w:pPr>
        <w:spacing w:before="120" w:after="40"/>
      </w:pPr>
      <w:r>
        <w:rPr>
          <w:b/>
          <w:color w:val="1F3864"/>
          <w:sz w:val="22"/>
        </w:rPr>
        <w:t>6.  Verdict</w:t>
      </w:r>
    </w:p>
    <w:p>
      <w:pPr>
        <w:spacing w:after="40"/>
      </w:pPr>
      <w:r>
        <w:rPr>
          <w:b w:val="0"/>
          <w:i w:val="0"/>
          <w:sz w:val="20"/>
        </w:rPr>
        <w:t>The compliant bushing formulation removes the structural blocker to scaling.  Because bushings contribute zero rows to Φ_q, rank deficiency cannot arise at any grid size: F_bushing = 6B holds identically at 3×3×3, 4×4×4, and 5×5×5.  The 2×2×3 change_2 sweep confirms the bushing carries load (12 mm F/K settle) and admits the correct rotational freedom (55° buckling on 4/5 seeds).</w:t>
      </w:r>
    </w:p>
    <w:p>
      <w:pPr>
        <w:spacing w:after="0"/>
      </w:pPr>
      <w:r>
        <w:rPr>
          <w:b w:val="0"/>
          <w:i w:val="0"/>
          <w:sz w:val="20"/>
        </w:rPr>
        <w:t>Recommended next steps: (i) port bushings into 3x3x3_simulation/ behind the JOINT_MODE seam defined in 3x3x3_plan.md §4.1 and run the §4.3 validation protocol; (ii) scale directly to 5×5×5 once the 3×3×3 run shows buckling on ≥3/5 seeds — the intermediate 4×4×4 step is no longer needed as a structural gate.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