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80" w:after="80"/>
        <w:jc w:val="center"/>
      </w:pPr>
      <w:r>
        <w:rPr>
          <w:rFonts w:ascii="Arial" w:cs="Arial" w:eastAsia="Arial" w:hAnsi="Arial"/>
          <w:b/>
          <w:bCs/>
          <w:color w:val="1A7A7A"/>
          <w:sz w:val="72"/>
          <w:szCs w:val="72"/>
        </w:rPr>
        <w:t xml:space="preserve">ONBOARD60</w:t>
      </w:r>
    </w:p>
    <w:p>
      <w:pPr>
        <w:spacing w:before="0" w:after="40"/>
        <w:jc w:val="center"/>
      </w:pPr>
      <w:r>
        <w:rPr>
          <w:rFonts w:ascii="Arial" w:cs="Arial" w:eastAsia="Arial" w:hAnsi="Arial"/>
          <w:color w:val="C8952A"/>
          <w:sz w:val="36"/>
          <w:szCs w:val="36"/>
        </w:rPr>
        <w:t xml:space="preserve">Active 55+ Communities</w:t>
      </w:r>
    </w:p>
    <w:p>
      <w:pPr>
        <w:spacing w:before="0" w:after="60"/>
        <w:jc w:val="center"/>
      </w:pPr>
      <w:r>
        <w:rPr>
          <w:rFonts w:ascii="Arial" w:cs="Arial" w:eastAsia="Arial" w:hAnsi="Arial"/>
          <w:i/>
          <w:iCs/>
          <w:color w:val="666666"/>
          <w:sz w:val="22"/>
          <w:szCs w:val="22"/>
        </w:rPr>
        <w:t xml:space="preserve">Technology-Enabled Attainable Senior Housing for Fixed-Income Adults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5DCDC" w:sz="1"/>
              <w:left w:val="single" w:color="C5DCDC" w:sz="1"/>
              <w:bottom w:val="single" w:color="C5DCDC" w:sz="1"/>
              <w:right w:val="single" w:color="C5DCDC" w:sz="1"/>
            </w:tcBorders>
            <w:shd w:fill="1A7A7A" w:val="clear"/>
            <w:tcMar>
              <w:top w:type="dxa" w:w="200"/>
              <w:left w:type="dxa" w:w="360"/>
              <w:bottom w:type="dxa" w:w="200"/>
              <w:right w:type="dxa" w:w="360"/>
            </w:tcMar>
          </w:tcPr>
          <w:p>
            <w:pPr>
              <w:jc w:val="center"/>
            </w:pPr>
            <w:r>
              <w:rPr>
                <w:rFonts w:ascii="Arial" w:cs="Arial" w:eastAsia="Arial" w:hAnsi="Arial"/>
                <w:b/>
                <w:bCs/>
                <w:color w:val="FFFFFF"/>
                <w:sz w:val="24"/>
                <w:szCs w:val="24"/>
              </w:rPr>
              <w:t xml:space="preserve">Business Proposal — Boca Raton / Deerfield Beach, Florida</w:t>
            </w:r>
          </w:p>
          <w:p>
            <w:pPr>
              <w:spacing w:before="60"/>
              <w:jc w:val="center"/>
            </w:pPr>
            <w:r>
              <w:rPr>
                <w:rFonts w:ascii="Arial" w:cs="Arial" w:eastAsia="Arial" w:hAnsi="Arial"/>
                <w:color w:val="E6F4F4"/>
                <w:sz w:val="18"/>
                <w:szCs w:val="18"/>
              </w:rPr>
              <w:t xml:space="preserve">Prepared by Sandra Abrams, Founder  •  sandraonboard60@gmail.com  •  Boca Raton, FL 33432</w:t>
            </w:r>
          </w:p>
        </w:tc>
      </w:tr>
    </w:tbl>
    <w:p>
      <w:pPr>
        <w:spacing w:before="0" w:after="160"/>
      </w:pPr>
      <w:r>
        <w:t xml:space="preserve"/>
      </w:r>
    </w:p>
    <w:p>
      <w:pPr>
        <w:pStyle w:val="Heading1"/>
        <w:pBdr>
          <w:bottom w:val="single" w:color="1A7A7A" w:sz="8" w:space="4"/>
        </w:pBdr>
        <w:spacing w:before="360" w:after="120"/>
      </w:pPr>
      <w:r>
        <w:rPr>
          <w:rFonts w:ascii="Arial" w:cs="Arial" w:eastAsia="Arial" w:hAnsi="Arial"/>
          <w:b/>
          <w:bCs/>
          <w:color w:val="1A7A7A"/>
          <w:sz w:val="28"/>
          <w:szCs w:val="28"/>
        </w:rPr>
        <w:t xml:space="preserve">Executive Summary</w:t>
      </w:r>
    </w:p>
    <w:p>
      <w:pPr>
        <w:spacing w:before="80" w:after="80"/>
      </w:pPr>
      <w:r>
        <w:rPr>
          <w:rFonts w:ascii="Arial" w:cs="Arial" w:eastAsia="Arial" w:hAnsi="Arial"/>
          <w:b w:val="false"/>
          <w:bCs w:val="false"/>
          <w:i w:val="false"/>
          <w:iCs w:val="false"/>
          <w:color w:val="1C2B2B"/>
          <w:sz w:val="22"/>
          <w:szCs w:val="22"/>
        </w:rPr>
        <w:t xml:space="preserve">Onboard60 is a purpose-built Active 55+ condominium community designed specifically for adults living on Social Security and fixed incomes. By integrating blockchain property management, smart home health technology, and a tokenized community economy, Onboard60 delivers safe, connected, tech-enabled independent living at a price point this vastly underserved market can actually afford.</w:t>
      </w:r>
    </w:p>
    <w:p>
      <w:pPr>
        <w:spacing w:before="0" w:after="80"/>
      </w:pPr>
      <w:r>
        <w:t xml:space="preserve"/>
      </w:r>
    </w:p>
    <w:p>
      <w:pPr>
        <w:spacing w:before="80" w:after="80"/>
      </w:pPr>
      <w:r>
        <w:rPr>
          <w:rFonts w:ascii="Arial" w:cs="Arial" w:eastAsia="Arial" w:hAnsi="Arial"/>
          <w:b w:val="false"/>
          <w:bCs w:val="false"/>
          <w:i w:val="false"/>
          <w:iCs w:val="false"/>
          <w:color w:val="1C2B2B"/>
          <w:sz w:val="22"/>
          <w:szCs w:val="22"/>
        </w:rPr>
        <w:t xml:space="preserve">The Boca Raton / Deerfield Beach corridor represents a uniquely high-opportunity target market. With over 23% of Deerfield Beach residents aged 65 or older — nearly 1.4 times the national average — and a median household income for seniors of approximately $37,800 per year, this community is home to exactly the fixed-income adults Onboard60 was designed to serve. Existing 55+ communities in this market skew heavily toward luxury buyers with $500K+ net worth, leaving the majority of local seniors without a compelling for-sale option.</w:t>
      </w:r>
    </w:p>
    <w:p>
      <w:pPr>
        <w:spacing w:before="0" w:after="80"/>
      </w:pPr>
      <w:r>
        <w:t xml:space="preserve"/>
      </w:r>
    </w:p>
    <w:p>
      <w:pPr>
        <w:spacing w:before="80" w:after="80"/>
      </w:pPr>
      <w:r>
        <w:rPr>
          <w:rFonts w:ascii="Arial" w:cs="Arial" w:eastAsia="Arial" w:hAnsi="Arial"/>
          <w:b w:val="false"/>
          <w:bCs w:val="false"/>
          <w:i w:val="false"/>
          <w:iCs w:val="false"/>
          <w:color w:val="1C2B2B"/>
          <w:sz w:val="22"/>
          <w:szCs w:val="22"/>
        </w:rPr>
        <w:t xml:space="preserve">Onboard60 is seeking a development partner to bring a 10-unit pilot community to this market. The business plan, technology partners, and legal framework are in place. The first developer to build attainable, tech-enabled senior living for fixed-income adults in South Florida will own a category no one else is serving.</w:t>
      </w:r>
    </w:p>
    <w:p>
      <w:pPr>
        <w:spacing w:before="0" w:after="160"/>
      </w:pPr>
      <w:r>
        <w:t xml:space="preserve"/>
      </w:r>
    </w:p>
    <w:p>
      <w:pPr>
        <w:pStyle w:val="Heading1"/>
        <w:pBdr>
          <w:bottom w:val="single" w:color="1A7A7A" w:sz="8" w:space="4"/>
        </w:pBdr>
        <w:spacing w:before="360" w:after="120"/>
      </w:pPr>
      <w:r>
        <w:rPr>
          <w:rFonts w:ascii="Arial" w:cs="Arial" w:eastAsia="Arial" w:hAnsi="Arial"/>
          <w:b/>
          <w:bCs/>
          <w:color w:val="1A7A7A"/>
          <w:sz w:val="28"/>
          <w:szCs w:val="28"/>
        </w:rPr>
        <w:t xml:space="preserve">Local Market Opportunity: Boca Raton / Deerfield Beach</w:t>
      </w:r>
    </w:p>
    <w:p>
      <w:pPr>
        <w:pStyle w:val="Heading2"/>
        <w:spacing w:before="240" w:after="80"/>
      </w:pPr>
      <w:r>
        <w:rPr>
          <w:rFonts w:ascii="Arial" w:cs="Arial" w:eastAsia="Arial" w:hAnsi="Arial"/>
          <w:b/>
          <w:bCs/>
          <w:color w:val="1C2B2B"/>
          <w:sz w:val="24"/>
          <w:szCs w:val="24"/>
        </w:rPr>
        <w:t xml:space="preserve">The Demographic Case</w:t>
      </w:r>
    </w:p>
    <w:p>
      <w:pPr>
        <w:spacing w:before="80" w:after="80"/>
      </w:pPr>
      <w:r>
        <w:rPr>
          <w:rFonts w:ascii="Arial" w:cs="Arial" w:eastAsia="Arial" w:hAnsi="Arial"/>
          <w:b w:val="false"/>
          <w:bCs w:val="false"/>
          <w:i w:val="false"/>
          <w:iCs w:val="false"/>
          <w:color w:val="1C2B2B"/>
          <w:sz w:val="22"/>
          <w:szCs w:val="22"/>
        </w:rPr>
        <w:t xml:space="preserve">The Boca Raton and Deerfield Beach corridor sits at the intersection of Palm Beach and Broward Counties, one of Florida’s highest concentrations of active senior adults. The local data makes the opportunity undeniable:</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5DCDC" w:sz="1"/>
              <w:left w:val="single" w:color="C5DCDC" w:sz="1"/>
              <w:bottom w:val="single" w:color="C5DCDC" w:sz="1"/>
              <w:right w:val="single" w:color="C5DCDC" w:sz="1"/>
            </w:tcBorders>
            <w:shd w:fill="E6F4F4" w:val="clear"/>
            <w:tcMar>
              <w:top w:type="dxa" w:w="80"/>
              <w:left w:type="dxa" w:w="120"/>
              <w:bottom w:type="dxa" w:w="80"/>
              <w:right w:type="dxa" w:w="120"/>
            </w:tcMar>
          </w:tcPr>
          <w:p>
            <w:pPr>
              <w:spacing w:before="80" w:after="20"/>
              <w:jc w:val="center"/>
            </w:pPr>
            <w:r>
              <w:rPr>
                <w:rFonts w:ascii="Arial" w:cs="Arial" w:eastAsia="Arial" w:hAnsi="Arial"/>
                <w:b/>
                <w:bCs/>
                <w:color w:val="1A7A7A"/>
                <w:sz w:val="40"/>
                <w:szCs w:val="40"/>
              </w:rPr>
              <w:t xml:space="preserve">23.3%</w:t>
            </w:r>
          </w:p>
          <w:p>
            <w:pPr>
              <w:spacing w:before="0" w:after="80"/>
              <w:jc w:val="center"/>
            </w:pPr>
            <w:r>
              <w:rPr>
                <w:rFonts w:ascii="Arial" w:cs="Arial" w:eastAsia="Arial" w:hAnsi="Arial"/>
                <w:color w:val="666666"/>
                <w:sz w:val="18"/>
                <w:szCs w:val="18"/>
              </w:rPr>
              <w:t xml:space="preserve">Deerfield Beach residents age 65+</w:t>
            </w:r>
          </w:p>
        </w:tc>
        <w:tc>
          <w:tcPr>
            <w:tcW w:type="dxa" w:w="4680"/>
            <w:tcBorders>
              <w:top w:val="single" w:color="C5DCDC" w:sz="1"/>
              <w:left w:val="single" w:color="C5DCDC" w:sz="1"/>
              <w:bottom w:val="single" w:color="C5DCDC" w:sz="1"/>
              <w:right w:val="single" w:color="C5DCDC" w:sz="1"/>
            </w:tcBorders>
            <w:shd w:fill="E6F4F4" w:val="clear"/>
            <w:tcMar>
              <w:top w:type="dxa" w:w="80"/>
              <w:left w:type="dxa" w:w="120"/>
              <w:bottom w:type="dxa" w:w="80"/>
              <w:right w:type="dxa" w:w="120"/>
            </w:tcMar>
          </w:tcPr>
          <w:p>
            <w:pPr>
              <w:spacing w:before="80" w:after="20"/>
              <w:jc w:val="center"/>
            </w:pPr>
            <w:r>
              <w:rPr>
                <w:rFonts w:ascii="Arial" w:cs="Arial" w:eastAsia="Arial" w:hAnsi="Arial"/>
                <w:b/>
                <w:bCs/>
                <w:color w:val="1A7A7A"/>
                <w:sz w:val="40"/>
                <w:szCs w:val="40"/>
              </w:rPr>
              <w:t xml:space="preserve">$37,800</w:t>
            </w:r>
          </w:p>
          <w:p>
            <w:pPr>
              <w:spacing w:before="0" w:after="80"/>
              <w:jc w:val="center"/>
            </w:pPr>
            <w:r>
              <w:rPr>
                <w:rFonts w:ascii="Arial" w:cs="Arial" w:eastAsia="Arial" w:hAnsi="Arial"/>
                <w:color w:val="666666"/>
                <w:sz w:val="18"/>
                <w:szCs w:val="18"/>
              </w:rPr>
              <w:t xml:space="preserve">Median income for 65+ households</w:t>
            </w:r>
          </w:p>
        </w:tc>
      </w:tr>
      <w:tr>
        <w:tc>
          <w:tcPr>
            <w:tcW w:type="dxa" w:w="4680"/>
            <w:tcBorders>
              <w:top w:val="single" w:color="C5DCDC" w:sz="1"/>
              <w:left w:val="single" w:color="C5DCDC" w:sz="1"/>
              <w:bottom w:val="single" w:color="C5DCDC" w:sz="1"/>
              <w:right w:val="single" w:color="C5DCDC" w:sz="1"/>
            </w:tcBorders>
            <w:shd w:fill="E6F4F4" w:val="clear"/>
            <w:tcMar>
              <w:top w:type="dxa" w:w="80"/>
              <w:left w:type="dxa" w:w="120"/>
              <w:bottom w:type="dxa" w:w="80"/>
              <w:right w:type="dxa" w:w="120"/>
            </w:tcMar>
          </w:tcPr>
          <w:p>
            <w:pPr>
              <w:spacing w:before="80" w:after="20"/>
              <w:jc w:val="center"/>
            </w:pPr>
            <w:r>
              <w:rPr>
                <w:rFonts w:ascii="Arial" w:cs="Arial" w:eastAsia="Arial" w:hAnsi="Arial"/>
                <w:b/>
                <w:bCs/>
                <w:color w:val="1A7A7A"/>
                <w:sz w:val="40"/>
                <w:szCs w:val="40"/>
              </w:rPr>
              <w:t xml:space="preserve">20,000+</w:t>
            </w:r>
          </w:p>
          <w:p>
            <w:pPr>
              <w:spacing w:before="0" w:after="80"/>
              <w:jc w:val="center"/>
            </w:pPr>
            <w:r>
              <w:rPr>
                <w:rFonts w:ascii="Arial" w:cs="Arial" w:eastAsia="Arial" w:hAnsi="Arial"/>
                <w:color w:val="666666"/>
                <w:sz w:val="18"/>
                <w:szCs w:val="18"/>
              </w:rPr>
              <w:t xml:space="preserve">Senior residents in Deerfield Beach alone</w:t>
            </w:r>
          </w:p>
        </w:tc>
        <w:tc>
          <w:tcPr>
            <w:tcW w:type="dxa" w:w="4680"/>
            <w:tcBorders>
              <w:top w:val="single" w:color="C5DCDC" w:sz="1"/>
              <w:left w:val="single" w:color="C5DCDC" w:sz="1"/>
              <w:bottom w:val="single" w:color="C5DCDC" w:sz="1"/>
              <w:right w:val="single" w:color="C5DCDC" w:sz="1"/>
            </w:tcBorders>
            <w:shd w:fill="E6F4F4" w:val="clear"/>
            <w:tcMar>
              <w:top w:type="dxa" w:w="80"/>
              <w:left w:type="dxa" w:w="120"/>
              <w:bottom w:type="dxa" w:w="80"/>
              <w:right w:type="dxa" w:w="120"/>
            </w:tcMar>
          </w:tcPr>
          <w:p>
            <w:pPr>
              <w:spacing w:before="80" w:after="20"/>
              <w:jc w:val="center"/>
            </w:pPr>
            <w:r>
              <w:rPr>
                <w:rFonts w:ascii="Arial" w:cs="Arial" w:eastAsia="Arial" w:hAnsi="Arial"/>
                <w:b/>
                <w:bCs/>
                <w:color w:val="1A7A7A"/>
                <w:sz w:val="40"/>
                <w:szCs w:val="40"/>
              </w:rPr>
              <w:t xml:space="preserve">33+</w:t>
            </w:r>
          </w:p>
          <w:p>
            <w:pPr>
              <w:spacing w:before="0" w:after="80"/>
              <w:jc w:val="center"/>
            </w:pPr>
            <w:r>
              <w:rPr>
                <w:rFonts w:ascii="Arial" w:cs="Arial" w:eastAsia="Arial" w:hAnsi="Arial"/>
                <w:color w:val="666666"/>
                <w:sz w:val="18"/>
                <w:szCs w:val="18"/>
              </w:rPr>
              <w:t xml:space="preserve">Existing 55+ communities — nearly all luxury-priced</w:t>
            </w:r>
          </w:p>
        </w:tc>
      </w:tr>
    </w:tbl>
    <w:p>
      <w:pPr>
        <w:spacing w:before="0" w:after="80"/>
      </w:pPr>
      <w:r>
        <w:t xml:space="preserve"/>
      </w:r>
    </w:p>
    <w:p>
      <w:pPr>
        <w:spacing w:before="80" w:after="80"/>
      </w:pPr>
      <w:r>
        <w:rPr>
          <w:rFonts w:ascii="Arial" w:cs="Arial" w:eastAsia="Arial" w:hAnsi="Arial"/>
          <w:b w:val="false"/>
          <w:bCs w:val="false"/>
          <w:i w:val="false"/>
          <w:iCs w:val="false"/>
          <w:color w:val="1C2B2B"/>
          <w:sz w:val="22"/>
          <w:szCs w:val="22"/>
        </w:rPr>
        <w:t xml:space="preserve">Deerfield Beach’s senior population rate of 23.3% significantly outpaces the national average of 16.8%, underscoring why this corridor is among Florida’s most senior-dense markets. Despite this, affordable for-sale options designed for Social Security-income adults remain virtually nonexistent.</w:t>
      </w:r>
    </w:p>
    <w:p>
      <w:pPr>
        <w:spacing w:before="0" w:after="80"/>
      </w:pPr>
      <w:r>
        <w:t xml:space="preserve"/>
      </w:r>
    </w:p>
    <w:p>
      <w:pPr>
        <w:pStyle w:val="Heading2"/>
        <w:spacing w:before="240" w:after="80"/>
      </w:pPr>
      <w:r>
        <w:rPr>
          <w:rFonts w:ascii="Arial" w:cs="Arial" w:eastAsia="Arial" w:hAnsi="Arial"/>
          <w:b/>
          <w:bCs/>
          <w:color w:val="1C2B2B"/>
          <w:sz w:val="24"/>
          <w:szCs w:val="24"/>
        </w:rPr>
        <w:t xml:space="preserve">The Competitive Gap</w:t>
      </w:r>
    </w:p>
    <w:p>
      <w:pPr>
        <w:spacing w:before="80" w:after="80"/>
      </w:pPr>
      <w:r>
        <w:rPr>
          <w:rFonts w:ascii="Arial" w:cs="Arial" w:eastAsia="Arial" w:hAnsi="Arial"/>
          <w:b w:val="false"/>
          <w:bCs w:val="false"/>
          <w:i w:val="false"/>
          <w:iCs w:val="false"/>
          <w:color w:val="1C2B2B"/>
          <w:sz w:val="22"/>
          <w:szCs w:val="22"/>
        </w:rPr>
        <w:t xml:space="preserve">The Boca Raton / Deerfield Beach market is saturated with premium 55+ communities — Century Village, Hunters Run, Valencia Falls, Boca Del Mar — each targeting buyers with substantial investment wealth. Monthly costs at most of these communities run $5,000–$7,000 per month. The median senior household in Deerfield Beach earns $37,800 per year, or roughly $3,150 per month. That is a market failure, not a niche — and it is precisely the gap Onboard60 fills.</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5DCDC" w:sz="1"/>
              <w:left w:val="single" w:color="C5DCDC" w:sz="1"/>
              <w:bottom w:val="single" w:color="C5DCDC" w:sz="1"/>
              <w:right w:val="single" w:color="C5DCDC" w:sz="1"/>
            </w:tcBorders>
            <w:shd w:fill="E6F4F4" w:val="clear"/>
            <w:tcMar>
              <w:top w:type="dxa" w:w="160"/>
              <w:left w:type="dxa" w:w="240"/>
              <w:bottom w:type="dxa" w:w="160"/>
              <w:right w:type="dxa" w:w="240"/>
            </w:tcMar>
          </w:tcPr>
          <w:p>
            <w:pPr>
              <w:spacing w:before="60" w:after="80"/>
            </w:pPr>
            <w:r>
              <w:rPr>
                <w:rFonts w:ascii="Arial" w:cs="Arial" w:eastAsia="Arial" w:hAnsi="Arial"/>
                <w:b/>
                <w:bCs/>
                <w:color w:val="1A7A7A"/>
                <w:sz w:val="22"/>
                <w:szCs w:val="22"/>
              </w:rPr>
              <w:t xml:space="preserve">Why Boca Raton / Deerfield Beach?</w:t>
            </w:r>
          </w:p>
          <w:p>
            <w:pPr>
              <w:spacing w:before="40" w:after="40"/>
            </w:pPr>
            <w:r>
              <w:rPr>
                <w:rFonts w:ascii="Arial" w:cs="Arial" w:eastAsia="Arial" w:hAnsi="Arial"/>
                <w:color w:val="1C2B2B"/>
                <w:sz w:val="20"/>
                <w:szCs w:val="20"/>
              </w:rPr>
              <w:t xml:space="preserve">•  One of Florida’s highest concentrations of 55+ adults, with a population median age of 43.9</w:t>
            </w:r>
          </w:p>
          <w:p>
            <w:pPr>
              <w:spacing w:before="40" w:after="40"/>
            </w:pPr>
            <w:r>
              <w:rPr>
                <w:rFonts w:ascii="Arial" w:cs="Arial" w:eastAsia="Arial" w:hAnsi="Arial"/>
                <w:color w:val="1C2B2B"/>
                <w:sz w:val="20"/>
                <w:szCs w:val="20"/>
              </w:rPr>
              <w:t xml:space="preserve">•  23.3% of residents are 65+ — nearly 1.4x the national rate</w:t>
            </w:r>
          </w:p>
          <w:p>
            <w:pPr>
              <w:spacing w:before="40" w:after="40"/>
            </w:pPr>
            <w:r>
              <w:rPr>
                <w:rFonts w:ascii="Arial" w:cs="Arial" w:eastAsia="Arial" w:hAnsi="Arial"/>
                <w:color w:val="1C2B2B"/>
                <w:sz w:val="20"/>
                <w:szCs w:val="20"/>
              </w:rPr>
              <w:t xml:space="preserve">•  Median 65+ household income of ~$37,800 — a classic Social Security-dependent buyer</w:t>
            </w:r>
          </w:p>
          <w:p>
            <w:pPr>
              <w:spacing w:before="40" w:after="40"/>
            </w:pPr>
            <w:r>
              <w:rPr>
                <w:rFonts w:ascii="Arial" w:cs="Arial" w:eastAsia="Arial" w:hAnsi="Arial"/>
                <w:color w:val="1C2B2B"/>
                <w:sz w:val="20"/>
                <w:szCs w:val="20"/>
              </w:rPr>
              <w:t xml:space="preserve">•  Zero existing for-sale 55+ communities priced for this income tier</w:t>
            </w:r>
          </w:p>
          <w:p>
            <w:pPr>
              <w:spacing w:before="40" w:after="40"/>
            </w:pPr>
            <w:r>
              <w:rPr>
                <w:rFonts w:ascii="Arial" w:cs="Arial" w:eastAsia="Arial" w:hAnsi="Arial"/>
                <w:color w:val="1C2B2B"/>
                <w:sz w:val="20"/>
                <w:szCs w:val="20"/>
              </w:rPr>
              <w:t xml:space="preserve">•  Walkable access to beaches, healthcare, transit, and retail along the US-1 and A1A corridors</w:t>
            </w:r>
          </w:p>
          <w:p>
            <w:pPr>
              <w:spacing w:before="40" w:after="40"/>
            </w:pPr>
            <w:r>
              <w:rPr>
                <w:rFonts w:ascii="Arial" w:cs="Arial" w:eastAsia="Arial" w:hAnsi="Arial"/>
                <w:color w:val="1C2B2B"/>
                <w:sz w:val="20"/>
                <w:szCs w:val="20"/>
              </w:rPr>
              <w:t xml:space="preserve">•  Established senior services infrastructure (Century Village, Praxis of Deerfield Beach, and others)</w:t>
            </w:r>
          </w:p>
          <w:p>
            <w:pPr>
              <w:spacing w:before="40" w:after="40"/>
            </w:pPr>
            <w:r>
              <w:rPr>
                <w:rFonts w:ascii="Arial" w:cs="Arial" w:eastAsia="Arial" w:hAnsi="Arial"/>
                <w:color w:val="1C2B2B"/>
                <w:sz w:val="20"/>
                <w:szCs w:val="20"/>
              </w:rPr>
              <w:t xml:space="preserve">•  Strong hurricane resilience awareness drives demand for smart home safety technology</w:t>
            </w:r>
          </w:p>
        </w:tc>
      </w:tr>
    </w:tbl>
    <w:p>
      <w:pPr>
        <w:spacing w:before="0" w:after="160"/>
      </w:pPr>
      <w:r>
        <w:t xml:space="preserve"/>
      </w:r>
    </w:p>
    <w:p>
      <w:pPr>
        <w:pStyle w:val="Heading1"/>
        <w:pBdr>
          <w:bottom w:val="single" w:color="1A7A7A" w:sz="8" w:space="4"/>
        </w:pBdr>
        <w:spacing w:before="360" w:after="120"/>
      </w:pPr>
      <w:r>
        <w:rPr>
          <w:rFonts w:ascii="Arial" w:cs="Arial" w:eastAsia="Arial" w:hAnsi="Arial"/>
          <w:b/>
          <w:bCs/>
          <w:color w:val="1A7A7A"/>
          <w:sz w:val="28"/>
          <w:szCs w:val="28"/>
        </w:rPr>
        <w:t xml:space="preserve">Target Buyer Profile</w:t>
      </w:r>
    </w:p>
    <w:p>
      <w:pPr>
        <w:spacing w:before="80" w:after="80"/>
      </w:pPr>
      <w:r>
        <w:rPr>
          <w:rFonts w:ascii="Arial" w:cs="Arial" w:eastAsia="Arial" w:hAnsi="Arial"/>
          <w:b w:val="false"/>
          <w:bCs w:val="false"/>
          <w:i w:val="false"/>
          <w:iCs w:val="false"/>
          <w:color w:val="1C2B2B"/>
          <w:sz w:val="22"/>
          <w:szCs w:val="22"/>
        </w:rPr>
        <w:t xml:space="preserve">The average Social Security retirement benefit is approximately $1,920/month. Financial experts recommend retirees spend no more than 25–30% of income on housing — about $480–$575/month. Onboard60 is designed around this reality. Our target buyer is an active adult downsizing from a primary residence, applying home sale equity toward a cash or low-mortgage purchase, and seeking predictable, low monthly costs in a safe, community-oriented environment.</w:t>
      </w:r>
    </w:p>
    <w:p>
      <w:pPr>
        <w:spacing w:before="0" w:after="80"/>
      </w:pPr>
      <w:r>
        <w:t xml:space="preserve"/>
      </w:r>
    </w:p>
    <w:p>
      <w:pPr>
        <w:pStyle w:val="ListParagraph"/>
        <w:numPr>
          <w:ilvl w:val="0"/>
          <w:numId w:val="2"/>
        </w:numPr>
        <w:spacing w:before="60" w:after="60"/>
      </w:pPr>
      <w:r>
        <w:rPr>
          <w:rFonts w:ascii="Arial" w:cs="Arial" w:eastAsia="Arial" w:hAnsi="Arial"/>
          <w:color w:val="1C2B2B"/>
          <w:sz w:val="22"/>
          <w:szCs w:val="22"/>
        </w:rPr>
        <w:t xml:space="preserve">Age 55+, active and independent, living on Social Security or other fixed income</w:t>
      </w:r>
    </w:p>
    <w:p>
      <w:pPr>
        <w:pStyle w:val="ListParagraph"/>
        <w:numPr>
          <w:ilvl w:val="0"/>
          <w:numId w:val="2"/>
        </w:numPr>
        <w:spacing w:before="60" w:after="60"/>
      </w:pPr>
      <w:r>
        <w:rPr>
          <w:rFonts w:ascii="Arial" w:cs="Arial" w:eastAsia="Arial" w:hAnsi="Arial"/>
          <w:color w:val="1C2B2B"/>
          <w:sz w:val="22"/>
          <w:szCs w:val="22"/>
        </w:rPr>
        <w:t xml:space="preserve">Downsizing from a larger home — bringing equity to enable a cash or minimal-mortgage purchase</w:t>
      </w:r>
    </w:p>
    <w:p>
      <w:pPr>
        <w:pStyle w:val="ListParagraph"/>
        <w:numPr>
          <w:ilvl w:val="0"/>
          <w:numId w:val="2"/>
        </w:numPr>
        <w:spacing w:before="60" w:after="60"/>
      </w:pPr>
      <w:r>
        <w:rPr>
          <w:rFonts w:ascii="Arial" w:cs="Arial" w:eastAsia="Arial" w:hAnsi="Arial"/>
          <w:color w:val="1C2B2B"/>
          <w:sz w:val="22"/>
          <w:szCs w:val="22"/>
        </w:rPr>
        <w:t xml:space="preserve">Prioritizes low, stable monthly costs (HOA, utilities, maintenance) above all else</w:t>
      </w:r>
    </w:p>
    <w:p>
      <w:pPr>
        <w:pStyle w:val="ListParagraph"/>
        <w:numPr>
          <w:ilvl w:val="0"/>
          <w:numId w:val="2"/>
        </w:numPr>
        <w:spacing w:before="60" w:after="60"/>
      </w:pPr>
      <w:r>
        <w:rPr>
          <w:rFonts w:ascii="Arial" w:cs="Arial" w:eastAsia="Arial" w:hAnsi="Arial"/>
          <w:color w:val="1C2B2B"/>
          <w:sz w:val="22"/>
          <w:szCs w:val="22"/>
        </w:rPr>
        <w:t xml:space="preserve">Values safety technology, health monitoring, and aging-in-place capability</w:t>
      </w:r>
    </w:p>
    <w:p>
      <w:pPr>
        <w:pStyle w:val="ListParagraph"/>
        <w:numPr>
          <w:ilvl w:val="0"/>
          <w:numId w:val="2"/>
        </w:numPr>
        <w:spacing w:before="60" w:after="60"/>
      </w:pPr>
      <w:r>
        <w:rPr>
          <w:rFonts w:ascii="Arial" w:cs="Arial" w:eastAsia="Arial" w:hAnsi="Arial"/>
          <w:color w:val="1C2B2B"/>
          <w:sz w:val="22"/>
          <w:szCs w:val="22"/>
        </w:rPr>
        <w:t xml:space="preserve">Seeks community connection, walkable amenities, and a sense of belonging</w:t>
      </w:r>
    </w:p>
    <w:p>
      <w:pPr>
        <w:pStyle w:val="ListParagraph"/>
        <w:numPr>
          <w:ilvl w:val="0"/>
          <w:numId w:val="2"/>
        </w:numPr>
        <w:spacing w:before="60" w:after="60"/>
      </w:pPr>
      <w:r>
        <w:rPr>
          <w:rFonts w:ascii="Arial" w:cs="Arial" w:eastAsia="Arial" w:hAnsi="Arial"/>
          <w:color w:val="1C2B2B"/>
          <w:sz w:val="22"/>
          <w:szCs w:val="22"/>
        </w:rPr>
        <w:t xml:space="preserve">Largely ignored by the market: most 55+ developments target buyers with $500K+ net worth</w:t>
      </w:r>
    </w:p>
    <w:p>
      <w:pPr>
        <w:spacing w:before="0" w:after="80"/>
      </w:pPr>
      <w:r>
        <w:t xml:space="preserve"/>
      </w:r>
    </w:p>
    <w:p>
      <w:pPr>
        <w:spacing w:before="80" w:after="80"/>
      </w:pPr>
      <w:r>
        <w:rPr>
          <w:rFonts w:ascii="Arial" w:cs="Arial" w:eastAsia="Arial" w:hAnsi="Arial"/>
          <w:b w:val="false"/>
          <w:bCs w:val="false"/>
          <w:i w:val="false"/>
          <w:iCs w:val="false"/>
          <w:color w:val="1C2B2B"/>
          <w:sz w:val="22"/>
          <w:szCs w:val="22"/>
        </w:rPr>
        <w:t xml:space="preserve">In the Boca Raton / Deerfield Beach corridor specifically, 38% of 55+ buyers nationally plan to pay cash for their next home, making this demographic a realistic purchaser at the $150K–$200K price point Onboard60 targets.</w:t>
      </w:r>
    </w:p>
    <w:p>
      <w:pPr>
        <w:spacing w:before="0" w:after="160"/>
      </w:pPr>
      <w:r>
        <w:t xml:space="preserve"/>
      </w:r>
    </w:p>
    <w:p>
      <w:pPr>
        <w:pStyle w:val="Heading1"/>
        <w:pBdr>
          <w:bottom w:val="single" w:color="1A7A7A" w:sz="8" w:space="4"/>
        </w:pBdr>
        <w:spacing w:before="360" w:after="120"/>
      </w:pPr>
      <w:r>
        <w:rPr>
          <w:rFonts w:ascii="Arial" w:cs="Arial" w:eastAsia="Arial" w:hAnsi="Arial"/>
          <w:b/>
          <w:bCs/>
          <w:color w:val="1A7A7A"/>
          <w:sz w:val="28"/>
          <w:szCs w:val="28"/>
        </w:rPr>
        <w:t xml:space="preserve">Three Technology Pillars</w:t>
      </w:r>
    </w:p>
    <w:p>
      <w:pPr>
        <w:spacing w:before="80" w:after="80"/>
      </w:pPr>
      <w:r>
        <w:rPr>
          <w:rFonts w:ascii="Arial" w:cs="Arial" w:eastAsia="Arial" w:hAnsi="Arial"/>
          <w:b w:val="false"/>
          <w:bCs w:val="false"/>
          <w:i/>
          <w:iCs/>
          <w:color w:val="1C2B2B"/>
          <w:sz w:val="22"/>
          <w:szCs w:val="22"/>
        </w:rPr>
        <w:t xml:space="preserve">Technology is what makes the Onboard60 model both financially viable for fixed-income residents and genuinely differentiated in the market. Each pillar directly reduces costs, increases safety, or stretches resident purchasing power.</w:t>
      </w:r>
    </w:p>
    <w:p>
      <w:pPr>
        <w:spacing w:before="0" w:after="80"/>
      </w:pPr>
      <w:r>
        <w:t xml:space="preserve"/>
      </w:r>
    </w:p>
    <w:p>
      <w:pPr>
        <w:pStyle w:val="Heading2"/>
        <w:spacing w:before="240" w:after="80"/>
      </w:pPr>
      <w:r>
        <w:rPr>
          <w:rFonts w:ascii="Arial" w:cs="Arial" w:eastAsia="Arial" w:hAnsi="Arial"/>
          <w:b/>
          <w:bCs/>
          <w:color w:val="1C2B2B"/>
          <w:sz w:val="24"/>
          <w:szCs w:val="24"/>
        </w:rPr>
        <w:t xml:space="preserve">1. Blockchain Property Management</w:t>
      </w:r>
    </w:p>
    <w:p>
      <w:pPr>
        <w:pStyle w:val="ListParagraph"/>
        <w:numPr>
          <w:ilvl w:val="0"/>
          <w:numId w:val="2"/>
        </w:numPr>
        <w:spacing w:before="60" w:after="60"/>
      </w:pPr>
      <w:r>
        <w:rPr>
          <w:rFonts w:ascii="Arial" w:cs="Arial" w:eastAsia="Arial" w:hAnsi="Arial"/>
          <w:color w:val="1C2B2B"/>
          <w:sz w:val="22"/>
          <w:szCs w:val="22"/>
        </w:rPr>
        <w:t xml:space="preserve">30–40% reduction in closing costs — directly lowers the barrier to entry for fixed-income buyers</w:t>
      </w:r>
    </w:p>
    <w:p>
      <w:pPr>
        <w:pStyle w:val="ListParagraph"/>
        <w:numPr>
          <w:ilvl w:val="0"/>
          <w:numId w:val="2"/>
        </w:numPr>
        <w:spacing w:before="60" w:after="60"/>
      </w:pPr>
      <w:r>
        <w:rPr>
          <w:rFonts w:ascii="Arial" w:cs="Arial" w:eastAsia="Arial" w:hAnsi="Arial"/>
          <w:color w:val="1C2B2B"/>
          <w:sz w:val="22"/>
          <w:szCs w:val="22"/>
        </w:rPr>
        <w:t xml:space="preserve">Smart contracts automate HOA dues, cutting administrative overhead 15–20% and keeping monthly fees predictably low</w:t>
      </w:r>
    </w:p>
    <w:p>
      <w:pPr>
        <w:pStyle w:val="ListParagraph"/>
        <w:numPr>
          <w:ilvl w:val="0"/>
          <w:numId w:val="2"/>
        </w:numPr>
        <w:spacing w:before="60" w:after="60"/>
      </w:pPr>
      <w:r>
        <w:rPr>
          <w:rFonts w:ascii="Arial" w:cs="Arial" w:eastAsia="Arial" w:hAnsi="Arial"/>
          <w:color w:val="1C2B2B"/>
          <w:sz w:val="22"/>
          <w:szCs w:val="22"/>
        </w:rPr>
        <w:t xml:space="preserve">48-hour property settlement vs. the standard 30–45 days — a faster, less stressful process that reduces buyer cost and anxiety</w:t>
      </w:r>
    </w:p>
    <w:p>
      <w:pPr>
        <w:pStyle w:val="ListParagraph"/>
        <w:numPr>
          <w:ilvl w:val="0"/>
          <w:numId w:val="2"/>
        </w:numPr>
        <w:spacing w:before="60" w:after="60"/>
      </w:pPr>
      <w:r>
        <w:rPr>
          <w:rFonts w:ascii="Arial" w:cs="Arial" w:eastAsia="Arial" w:hAnsi="Arial"/>
          <w:color w:val="1C2B2B"/>
          <w:sz w:val="22"/>
          <w:szCs w:val="22"/>
        </w:rPr>
        <w:t xml:space="preserve">SEC is advancing a real estate tokenization framework (2026) — regulatory clarity is imminent and positions Onboard60 as a first mover</w:t>
      </w:r>
    </w:p>
    <w:p>
      <w:pPr>
        <w:spacing w:before="0" w:after="80"/>
      </w:pPr>
      <w:r>
        <w:t xml:space="preserve"/>
      </w:r>
    </w:p>
    <w:p>
      <w:pPr>
        <w:pStyle w:val="Heading2"/>
        <w:spacing w:before="240" w:after="80"/>
      </w:pPr>
      <w:r>
        <w:rPr>
          <w:rFonts w:ascii="Arial" w:cs="Arial" w:eastAsia="Arial" w:hAnsi="Arial"/>
          <w:b/>
          <w:bCs/>
          <w:color w:val="1C2B2B"/>
          <w:sz w:val="24"/>
          <w:szCs w:val="24"/>
        </w:rPr>
        <w:t xml:space="preserve">2. Smart Home Health &amp; Safety</w:t>
      </w:r>
    </w:p>
    <w:p>
      <w:pPr>
        <w:pStyle w:val="ListParagraph"/>
        <w:numPr>
          <w:ilvl w:val="0"/>
          <w:numId w:val="2"/>
        </w:numPr>
        <w:spacing w:before="60" w:after="60"/>
      </w:pPr>
      <w:r>
        <w:rPr>
          <w:rFonts w:ascii="Arial" w:cs="Arial" w:eastAsia="Arial" w:hAnsi="Arial"/>
          <w:color w:val="1C2B2B"/>
          <w:sz w:val="22"/>
          <w:szCs w:val="22"/>
        </w:rPr>
        <w:t xml:space="preserve">Biometric monitoring, fall detection, and emergency auto-alerts — critical for residents living independently in South Florida</w:t>
      </w:r>
    </w:p>
    <w:p>
      <w:pPr>
        <w:pStyle w:val="ListParagraph"/>
        <w:numPr>
          <w:ilvl w:val="0"/>
          <w:numId w:val="2"/>
        </w:numPr>
        <w:spacing w:before="60" w:after="60"/>
      </w:pPr>
      <w:r>
        <w:rPr>
          <w:rFonts w:ascii="Arial" w:cs="Arial" w:eastAsia="Arial" w:hAnsi="Arial"/>
          <w:color w:val="1C2B2B"/>
          <w:sz w:val="22"/>
          <w:szCs w:val="22"/>
        </w:rPr>
        <w:t xml:space="preserve">Environmental safety suite: smoke, CO, stove auto shut-off, and water leak detection</w:t>
      </w:r>
    </w:p>
    <w:p>
      <w:pPr>
        <w:pStyle w:val="ListParagraph"/>
        <w:numPr>
          <w:ilvl w:val="0"/>
          <w:numId w:val="2"/>
        </w:numPr>
        <w:spacing w:before="60" w:after="60"/>
      </w:pPr>
      <w:r>
        <w:rPr>
          <w:rFonts w:ascii="Arial" w:cs="Arial" w:eastAsia="Arial" w:hAnsi="Arial"/>
          <w:color w:val="1C2B2B"/>
          <w:sz w:val="22"/>
          <w:szCs w:val="22"/>
        </w:rPr>
        <w:t xml:space="preserve">Voice-activated controls support aging in place and independence — HIPAA compliant</w:t>
      </w:r>
    </w:p>
    <w:p>
      <w:pPr>
        <w:pStyle w:val="ListParagraph"/>
        <w:numPr>
          <w:ilvl w:val="0"/>
          <w:numId w:val="2"/>
        </w:numPr>
        <w:spacing w:before="60" w:after="60"/>
      </w:pPr>
      <w:r>
        <w:rPr>
          <w:rFonts w:ascii="Arial" w:cs="Arial" w:eastAsia="Arial" w:hAnsi="Arial"/>
          <w:color w:val="1C2B2B"/>
          <w:sz w:val="22"/>
          <w:szCs w:val="22"/>
        </w:rPr>
        <w:t xml:space="preserve">Particularly valuable in hurricane-prone South Florida: smart monitoring provides year-round peace of mind and reduces insurance risk</w:t>
      </w:r>
    </w:p>
    <w:p>
      <w:pPr>
        <w:spacing w:before="0" w:after="80"/>
      </w:pPr>
      <w:r>
        <w:t xml:space="preserve"/>
      </w:r>
    </w:p>
    <w:p>
      <w:pPr>
        <w:pStyle w:val="Heading2"/>
        <w:spacing w:before="240" w:after="80"/>
      </w:pPr>
      <w:r>
        <w:rPr>
          <w:rFonts w:ascii="Arial" w:cs="Arial" w:eastAsia="Arial" w:hAnsi="Arial"/>
          <w:b/>
          <w:bCs/>
          <w:color w:val="1C2B2B"/>
          <w:sz w:val="24"/>
          <w:szCs w:val="24"/>
        </w:rPr>
        <w:t xml:space="preserve">3. Tokenized Community Economy</w:t>
      </w:r>
    </w:p>
    <w:p>
      <w:pPr>
        <w:pStyle w:val="ListParagraph"/>
        <w:numPr>
          <w:ilvl w:val="0"/>
          <w:numId w:val="2"/>
        </w:numPr>
        <w:spacing w:before="60" w:after="60"/>
      </w:pPr>
      <w:r>
        <w:rPr>
          <w:rFonts w:ascii="Arial" w:cs="Arial" w:eastAsia="Arial" w:hAnsi="Arial"/>
          <w:color w:val="1C2B2B"/>
          <w:sz w:val="22"/>
          <w:szCs w:val="22"/>
        </w:rPr>
        <w:t xml:space="preserve">Residents earn tokens through wellness activities and community participation — extending purchasing power on a fixed income</w:t>
      </w:r>
    </w:p>
    <w:p>
      <w:pPr>
        <w:pStyle w:val="ListParagraph"/>
        <w:numPr>
          <w:ilvl w:val="0"/>
          <w:numId w:val="2"/>
        </w:numPr>
        <w:spacing w:before="60" w:after="60"/>
      </w:pPr>
      <w:r>
        <w:rPr>
          <w:rFonts w:ascii="Arial" w:cs="Arial" w:eastAsia="Arial" w:hAnsi="Arial"/>
          <w:color w:val="1C2B2B"/>
          <w:sz w:val="22"/>
          <w:szCs w:val="22"/>
        </w:rPr>
        <w:t xml:space="preserve">Tokens redeemable for on-site meals, services, and amenities, meaningfully reducing monthly out-of-pocket costs</w:t>
      </w:r>
    </w:p>
    <w:p>
      <w:pPr>
        <w:pStyle w:val="ListParagraph"/>
        <w:numPr>
          <w:ilvl w:val="0"/>
          <w:numId w:val="2"/>
        </w:numPr>
        <w:spacing w:before="60" w:after="60"/>
      </w:pPr>
      <w:r>
        <w:rPr>
          <w:rFonts w:ascii="Arial" w:cs="Arial" w:eastAsia="Arial" w:hAnsi="Arial"/>
          <w:color w:val="1C2B2B"/>
          <w:sz w:val="22"/>
          <w:szCs w:val="22"/>
        </w:rPr>
        <w:t xml:space="preserve">Drives 40–60% higher amenity utilization and fosters the social connection that measurably improves senior health outcomes</w:t>
      </w:r>
    </w:p>
    <w:p>
      <w:pPr>
        <w:pStyle w:val="ListParagraph"/>
        <w:numPr>
          <w:ilvl w:val="0"/>
          <w:numId w:val="2"/>
        </w:numPr>
        <w:spacing w:before="60" w:after="60"/>
      </w:pPr>
      <w:r>
        <w:rPr>
          <w:rFonts w:ascii="Arial" w:cs="Arial" w:eastAsia="Arial" w:hAnsi="Arial"/>
          <w:color w:val="1C2B2B"/>
          <w:sz w:val="22"/>
          <w:szCs w:val="22"/>
        </w:rPr>
        <w:t xml:space="preserve">Creates a self-reinforcing community culture that drives retention, word-of-mouth, and absorption velocity</w:t>
      </w:r>
    </w:p>
    <w:p>
      <w:pPr>
        <w:spacing w:before="0" w:after="160"/>
      </w:pPr>
      <w:r>
        <w:t xml:space="preserve"/>
      </w:r>
    </w:p>
    <w:p>
      <w:pPr>
        <w:pStyle w:val="Heading1"/>
        <w:pBdr>
          <w:bottom w:val="single" w:color="1A7A7A" w:sz="8" w:space="4"/>
        </w:pBdr>
        <w:spacing w:before="360" w:after="120"/>
      </w:pPr>
      <w:r>
        <w:rPr>
          <w:rFonts w:ascii="Arial" w:cs="Arial" w:eastAsia="Arial" w:hAnsi="Arial"/>
          <w:b/>
          <w:bCs/>
          <w:color w:val="1A7A7A"/>
          <w:sz w:val="28"/>
          <w:szCs w:val="28"/>
        </w:rPr>
        <w:t xml:space="preserve">Financial Snapshot — 10-Unit Pilot Community</w:t>
      </w:r>
    </w:p>
    <w:p>
      <w:pPr>
        <w:spacing w:before="80" w:after="80"/>
      </w:pPr>
      <w:r>
        <w:rPr>
          <w:rFonts w:ascii="Arial" w:cs="Arial" w:eastAsia="Arial" w:hAnsi="Arial"/>
          <w:b w:val="false"/>
          <w:bCs w:val="false"/>
          <w:i w:val="false"/>
          <w:iCs w:val="false"/>
          <w:color w:val="1C2B2B"/>
          <w:sz w:val="22"/>
          <w:szCs w:val="22"/>
        </w:rPr>
        <w:t xml:space="preserve">The following projections are for a 10-unit pilot community in the Boca Raton / Deerfield Beach market. The model is designed to be capital-efficient, technology-forward, and replicable.</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240"/>
        <w:gridCol w:w="3120"/>
      </w:tblGrid>
      <w:tr>
        <w:tc>
          <w:tcPr>
            <w:tcW w:type="dxa" w:w="6240"/>
            <w:tcBorders>
              <w:top w:val="single" w:color="C5DCDC" w:sz="1"/>
              <w:left w:val="single" w:color="C5DCDC" w:sz="1"/>
              <w:bottom w:val="single" w:color="C5DCDC" w:sz="1"/>
              <w:right w:val="single" w:color="C5DCDC" w:sz="1"/>
            </w:tcBorders>
            <w:shd w:fill="1A7A7A"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3120"/>
            <w:tcBorders>
              <w:top w:val="single" w:color="C5DCDC" w:sz="1"/>
              <w:left w:val="single" w:color="C5DCDC" w:sz="1"/>
              <w:bottom w:val="single" w:color="C5DCDC" w:sz="1"/>
              <w:right w:val="single" w:color="C5DCDC" w:sz="1"/>
            </w:tcBorders>
            <w:shd w:fill="1A7A7A" w:val="clear"/>
            <w:tcMar>
              <w:top w:type="dxa" w:w="80"/>
              <w:left w:type="dxa" w:w="120"/>
              <w:bottom w:type="dxa" w:w="80"/>
              <w:right w:type="dxa" w:w="120"/>
            </w:tcMar>
          </w:tcPr>
          <w:p>
            <w:pPr>
              <w:jc w:val="right"/>
            </w:pPr>
            <w:r>
              <w:rPr>
                <w:rFonts w:ascii="Arial" w:cs="Arial" w:eastAsia="Arial" w:hAnsi="Arial"/>
                <w:b/>
                <w:bCs/>
                <w:color w:val="FFFFFF"/>
                <w:sz w:val="20"/>
                <w:szCs w:val="20"/>
              </w:rPr>
              <w:t xml:space="preserve">Projection</w:t>
            </w:r>
          </w:p>
        </w:tc>
      </w:tr>
      <w:tr>
        <w:tc>
          <w:tcPr>
            <w:tcW w:type="dxa" w:w="6240"/>
            <w:tcBorders>
              <w:top w:val="single" w:color="C5DCDC" w:sz="1"/>
              <w:left w:val="single" w:color="C5DCDC" w:sz="1"/>
              <w:bottom w:val="single" w:color="C5DCDC" w:sz="1"/>
              <w:right w:val="single" w:color="C5DCDC" w:sz="1"/>
            </w:tcBorders>
            <w:shd w:fill="FFFFFF" w:val="clear"/>
            <w:tcMar>
              <w:top w:type="dxa" w:w="60"/>
              <w:left w:type="dxa" w:w="120"/>
              <w:bottom w:type="dxa" w:w="60"/>
              <w:right w:type="dxa" w:w="120"/>
            </w:tcMar>
          </w:tcPr>
          <w:p>
            <w:r>
              <w:rPr>
                <w:rFonts w:ascii="Arial" w:cs="Arial" w:eastAsia="Arial" w:hAnsi="Arial"/>
                <w:color w:val="1C2B2B"/>
                <w:sz w:val="20"/>
                <w:szCs w:val="20"/>
              </w:rPr>
              <w:t xml:space="preserve">Total Project Cost</w:t>
            </w:r>
          </w:p>
        </w:tc>
        <w:tc>
          <w:tcPr>
            <w:tcW w:type="dxa" w:w="3120"/>
            <w:tcBorders>
              <w:top w:val="single" w:color="C5DCDC" w:sz="1"/>
              <w:left w:val="single" w:color="C5DCDC" w:sz="1"/>
              <w:bottom w:val="single" w:color="C5DCDC" w:sz="1"/>
              <w:right w:val="single" w:color="C5DCDC" w:sz="1"/>
            </w:tcBorders>
            <w:shd w:fill="FFFFFF" w:val="clear"/>
            <w:tcMar>
              <w:top w:type="dxa" w:w="60"/>
              <w:left w:type="dxa" w:w="120"/>
              <w:bottom w:type="dxa" w:w="60"/>
              <w:right w:type="dxa" w:w="120"/>
            </w:tcMar>
          </w:tcPr>
          <w:p>
            <w:pPr>
              <w:jc w:val="right"/>
            </w:pPr>
            <w:r>
              <w:rPr>
                <w:rFonts w:ascii="Arial" w:cs="Arial" w:eastAsia="Arial" w:hAnsi="Arial"/>
                <w:b/>
                <w:bCs/>
                <w:color w:val="1A7A7A"/>
                <w:sz w:val="20"/>
                <w:szCs w:val="20"/>
              </w:rPr>
              <w:t xml:space="preserve">$3.84M – $5.08M</w:t>
            </w:r>
          </w:p>
        </w:tc>
      </w:tr>
      <w:tr>
        <w:tc>
          <w:tcPr>
            <w:tcW w:type="dxa" w:w="6240"/>
            <w:tcBorders>
              <w:top w:val="single" w:color="C5DCDC" w:sz="1"/>
              <w:left w:val="single" w:color="C5DCDC" w:sz="1"/>
              <w:bottom w:val="single" w:color="C5DCDC" w:sz="1"/>
              <w:right w:val="single" w:color="C5DCDC" w:sz="1"/>
            </w:tcBorders>
            <w:shd w:fill="E6F4F4" w:val="clear"/>
            <w:tcMar>
              <w:top w:type="dxa" w:w="60"/>
              <w:left w:type="dxa" w:w="120"/>
              <w:bottom w:type="dxa" w:w="60"/>
              <w:right w:type="dxa" w:w="120"/>
            </w:tcMar>
          </w:tcPr>
          <w:p>
            <w:r>
              <w:rPr>
                <w:rFonts w:ascii="Arial" w:cs="Arial" w:eastAsia="Arial" w:hAnsi="Arial"/>
                <w:color w:val="1C2B2B"/>
                <w:sz w:val="20"/>
                <w:szCs w:val="20"/>
              </w:rPr>
              <w:t xml:space="preserve">Technology Infrastructure</w:t>
            </w:r>
          </w:p>
        </w:tc>
        <w:tc>
          <w:tcPr>
            <w:tcW w:type="dxa" w:w="3120"/>
            <w:tcBorders>
              <w:top w:val="single" w:color="C5DCDC" w:sz="1"/>
              <w:left w:val="single" w:color="C5DCDC" w:sz="1"/>
              <w:bottom w:val="single" w:color="C5DCDC" w:sz="1"/>
              <w:right w:val="single" w:color="C5DCDC" w:sz="1"/>
            </w:tcBorders>
            <w:shd w:fill="E6F4F4" w:val="clear"/>
            <w:tcMar>
              <w:top w:type="dxa" w:w="60"/>
              <w:left w:type="dxa" w:w="120"/>
              <w:bottom w:type="dxa" w:w="60"/>
              <w:right w:type="dxa" w:w="120"/>
            </w:tcMar>
          </w:tcPr>
          <w:p>
            <w:pPr>
              <w:jc w:val="right"/>
            </w:pPr>
            <w:r>
              <w:rPr>
                <w:rFonts w:ascii="Arial" w:cs="Arial" w:eastAsia="Arial" w:hAnsi="Arial"/>
                <w:b/>
                <w:bCs/>
                <w:color w:val="1A7A7A"/>
                <w:sz w:val="20"/>
                <w:szCs w:val="20"/>
              </w:rPr>
              <w:t xml:space="preserve">$120K – $200K (2.5–4% of total)</w:t>
            </w:r>
          </w:p>
        </w:tc>
      </w:tr>
      <w:tr>
        <w:tc>
          <w:tcPr>
            <w:tcW w:type="dxa" w:w="6240"/>
            <w:tcBorders>
              <w:top w:val="single" w:color="C5DCDC" w:sz="1"/>
              <w:left w:val="single" w:color="C5DCDC" w:sz="1"/>
              <w:bottom w:val="single" w:color="C5DCDC" w:sz="1"/>
              <w:right w:val="single" w:color="C5DCDC" w:sz="1"/>
            </w:tcBorders>
            <w:shd w:fill="FFFFFF" w:val="clear"/>
            <w:tcMar>
              <w:top w:type="dxa" w:w="60"/>
              <w:left w:type="dxa" w:w="120"/>
              <w:bottom w:type="dxa" w:w="60"/>
              <w:right w:type="dxa" w:w="120"/>
            </w:tcMar>
          </w:tcPr>
          <w:p>
            <w:r>
              <w:rPr>
                <w:rFonts w:ascii="Arial" w:cs="Arial" w:eastAsia="Arial" w:hAnsi="Arial"/>
                <w:color w:val="1C2B2B"/>
                <w:sz w:val="20"/>
                <w:szCs w:val="20"/>
              </w:rPr>
              <w:t xml:space="preserve">Per Unit Smart Home Systems</w:t>
            </w:r>
          </w:p>
        </w:tc>
        <w:tc>
          <w:tcPr>
            <w:tcW w:type="dxa" w:w="3120"/>
            <w:tcBorders>
              <w:top w:val="single" w:color="C5DCDC" w:sz="1"/>
              <w:left w:val="single" w:color="C5DCDC" w:sz="1"/>
              <w:bottom w:val="single" w:color="C5DCDC" w:sz="1"/>
              <w:right w:val="single" w:color="C5DCDC" w:sz="1"/>
            </w:tcBorders>
            <w:shd w:fill="FFFFFF" w:val="clear"/>
            <w:tcMar>
              <w:top w:type="dxa" w:w="60"/>
              <w:left w:type="dxa" w:w="120"/>
              <w:bottom w:type="dxa" w:w="60"/>
              <w:right w:type="dxa" w:w="120"/>
            </w:tcMar>
          </w:tcPr>
          <w:p>
            <w:pPr>
              <w:jc w:val="right"/>
            </w:pPr>
            <w:r>
              <w:rPr>
                <w:rFonts w:ascii="Arial" w:cs="Arial" w:eastAsia="Arial" w:hAnsi="Arial"/>
                <w:b/>
                <w:bCs/>
                <w:color w:val="1A7A7A"/>
                <w:sz w:val="20"/>
                <w:szCs w:val="20"/>
              </w:rPr>
              <w:t xml:space="preserve">$8K – $12K</w:t>
            </w:r>
          </w:p>
        </w:tc>
      </w:tr>
      <w:tr>
        <w:tc>
          <w:tcPr>
            <w:tcW w:type="dxa" w:w="6240"/>
            <w:tcBorders>
              <w:top w:val="single" w:color="C5DCDC" w:sz="1"/>
              <w:left w:val="single" w:color="C5DCDC" w:sz="1"/>
              <w:bottom w:val="single" w:color="C5DCDC" w:sz="1"/>
              <w:right w:val="single" w:color="C5DCDC" w:sz="1"/>
            </w:tcBorders>
            <w:shd w:fill="E6F4F4" w:val="clear"/>
            <w:tcMar>
              <w:top w:type="dxa" w:w="60"/>
              <w:left w:type="dxa" w:w="120"/>
              <w:bottom w:type="dxa" w:w="60"/>
              <w:right w:type="dxa" w:w="120"/>
            </w:tcMar>
          </w:tcPr>
          <w:p>
            <w:r>
              <w:rPr>
                <w:rFonts w:ascii="Arial" w:cs="Arial" w:eastAsia="Arial" w:hAnsi="Arial"/>
                <w:color w:val="1C2B2B"/>
                <w:sz w:val="20"/>
                <w:szCs w:val="20"/>
              </w:rPr>
              <w:t xml:space="preserve">Unit Pricing</w:t>
            </w:r>
          </w:p>
        </w:tc>
        <w:tc>
          <w:tcPr>
            <w:tcW w:type="dxa" w:w="3120"/>
            <w:tcBorders>
              <w:top w:val="single" w:color="C5DCDC" w:sz="1"/>
              <w:left w:val="single" w:color="C5DCDC" w:sz="1"/>
              <w:bottom w:val="single" w:color="C5DCDC" w:sz="1"/>
              <w:right w:val="single" w:color="C5DCDC" w:sz="1"/>
            </w:tcBorders>
            <w:shd w:fill="E6F4F4" w:val="clear"/>
            <w:tcMar>
              <w:top w:type="dxa" w:w="60"/>
              <w:left w:type="dxa" w:w="120"/>
              <w:bottom w:type="dxa" w:w="60"/>
              <w:right w:type="dxa" w:w="120"/>
            </w:tcMar>
          </w:tcPr>
          <w:p>
            <w:pPr>
              <w:jc w:val="right"/>
            </w:pPr>
            <w:r>
              <w:rPr>
                <w:rFonts w:ascii="Arial" w:cs="Arial" w:eastAsia="Arial" w:hAnsi="Arial"/>
                <w:b/>
                <w:bCs/>
                <w:color w:val="1A7A7A"/>
                <w:sz w:val="20"/>
                <w:szCs w:val="20"/>
              </w:rPr>
              <w:t xml:space="preserve">$150,000 – $200,000</w:t>
            </w:r>
          </w:p>
        </w:tc>
      </w:tr>
      <w:tr>
        <w:tc>
          <w:tcPr>
            <w:tcW w:type="dxa" w:w="6240"/>
            <w:tcBorders>
              <w:top w:val="single" w:color="C5DCDC" w:sz="1"/>
              <w:left w:val="single" w:color="C5DCDC" w:sz="1"/>
              <w:bottom w:val="single" w:color="C5DCDC" w:sz="1"/>
              <w:right w:val="single" w:color="C5DCDC" w:sz="1"/>
            </w:tcBorders>
            <w:shd w:fill="FFFFFF" w:val="clear"/>
            <w:tcMar>
              <w:top w:type="dxa" w:w="60"/>
              <w:left w:type="dxa" w:w="120"/>
              <w:bottom w:type="dxa" w:w="60"/>
              <w:right w:type="dxa" w:w="120"/>
            </w:tcMar>
          </w:tcPr>
          <w:p>
            <w:r>
              <w:rPr>
                <w:rFonts w:ascii="Arial" w:cs="Arial" w:eastAsia="Arial" w:hAnsi="Arial"/>
                <w:color w:val="1C2B2B"/>
                <w:sz w:val="20"/>
                <w:szCs w:val="20"/>
              </w:rPr>
              <w:t xml:space="preserve">Total Sales Revenue</w:t>
            </w:r>
          </w:p>
        </w:tc>
        <w:tc>
          <w:tcPr>
            <w:tcW w:type="dxa" w:w="3120"/>
            <w:tcBorders>
              <w:top w:val="single" w:color="C5DCDC" w:sz="1"/>
              <w:left w:val="single" w:color="C5DCDC" w:sz="1"/>
              <w:bottom w:val="single" w:color="C5DCDC" w:sz="1"/>
              <w:right w:val="single" w:color="C5DCDC" w:sz="1"/>
            </w:tcBorders>
            <w:shd w:fill="FFFFFF" w:val="clear"/>
            <w:tcMar>
              <w:top w:type="dxa" w:w="60"/>
              <w:left w:type="dxa" w:w="120"/>
              <w:bottom w:type="dxa" w:w="60"/>
              <w:right w:type="dxa" w:w="120"/>
            </w:tcMar>
          </w:tcPr>
          <w:p>
            <w:pPr>
              <w:jc w:val="right"/>
            </w:pPr>
            <w:r>
              <w:rPr>
                <w:rFonts w:ascii="Arial" w:cs="Arial" w:eastAsia="Arial" w:hAnsi="Arial"/>
                <w:b/>
                <w:bCs/>
                <w:color w:val="1A7A7A"/>
                <w:sz w:val="20"/>
                <w:szCs w:val="20"/>
              </w:rPr>
              <w:t xml:space="preserve">$1.5M – $2.0M</w:t>
            </w:r>
          </w:p>
        </w:tc>
      </w:tr>
      <w:tr>
        <w:tc>
          <w:tcPr>
            <w:tcW w:type="dxa" w:w="6240"/>
            <w:tcBorders>
              <w:top w:val="single" w:color="C5DCDC" w:sz="1"/>
              <w:left w:val="single" w:color="C5DCDC" w:sz="1"/>
              <w:bottom w:val="single" w:color="C5DCDC" w:sz="1"/>
              <w:right w:val="single" w:color="C5DCDC" w:sz="1"/>
            </w:tcBorders>
            <w:shd w:fill="E6F4F4" w:val="clear"/>
            <w:tcMar>
              <w:top w:type="dxa" w:w="60"/>
              <w:left w:type="dxa" w:w="120"/>
              <w:bottom w:type="dxa" w:w="60"/>
              <w:right w:type="dxa" w:w="120"/>
            </w:tcMar>
          </w:tcPr>
          <w:p>
            <w:r>
              <w:rPr>
                <w:rFonts w:ascii="Arial" w:cs="Arial" w:eastAsia="Arial" w:hAnsi="Arial"/>
                <w:color w:val="1C2B2B"/>
                <w:sz w:val="20"/>
                <w:szCs w:val="20"/>
              </w:rPr>
              <w:t xml:space="preserve">Projected IRR</w:t>
            </w:r>
          </w:p>
        </w:tc>
        <w:tc>
          <w:tcPr>
            <w:tcW w:type="dxa" w:w="3120"/>
            <w:tcBorders>
              <w:top w:val="single" w:color="C5DCDC" w:sz="1"/>
              <w:left w:val="single" w:color="C5DCDC" w:sz="1"/>
              <w:bottom w:val="single" w:color="C5DCDC" w:sz="1"/>
              <w:right w:val="single" w:color="C5DCDC" w:sz="1"/>
            </w:tcBorders>
            <w:shd w:fill="E6F4F4" w:val="clear"/>
            <w:tcMar>
              <w:top w:type="dxa" w:w="60"/>
              <w:left w:type="dxa" w:w="120"/>
              <w:bottom w:type="dxa" w:w="60"/>
              <w:right w:type="dxa" w:w="120"/>
            </w:tcMar>
          </w:tcPr>
          <w:p>
            <w:pPr>
              <w:jc w:val="right"/>
            </w:pPr>
            <w:r>
              <w:rPr>
                <w:rFonts w:ascii="Arial" w:cs="Arial" w:eastAsia="Arial" w:hAnsi="Arial"/>
                <w:b/>
                <w:bCs/>
                <w:color w:val="1A7A7A"/>
                <w:sz w:val="20"/>
                <w:szCs w:val="20"/>
              </w:rPr>
              <w:t xml:space="preserve">18–22%</w:t>
            </w:r>
          </w:p>
        </w:tc>
      </w:tr>
      <w:tr>
        <w:tc>
          <w:tcPr>
            <w:tcW w:type="dxa" w:w="6240"/>
            <w:tcBorders>
              <w:top w:val="single" w:color="C5DCDC" w:sz="1"/>
              <w:left w:val="single" w:color="C5DCDC" w:sz="1"/>
              <w:bottom w:val="single" w:color="C5DCDC" w:sz="1"/>
              <w:right w:val="single" w:color="C5DCDC" w:sz="1"/>
            </w:tcBorders>
            <w:shd w:fill="FFFFFF" w:val="clear"/>
            <w:tcMar>
              <w:top w:type="dxa" w:w="60"/>
              <w:left w:type="dxa" w:w="120"/>
              <w:bottom w:type="dxa" w:w="60"/>
              <w:right w:type="dxa" w:w="120"/>
            </w:tcMar>
          </w:tcPr>
          <w:p>
            <w:r>
              <w:rPr>
                <w:rFonts w:ascii="Arial" w:cs="Arial" w:eastAsia="Arial" w:hAnsi="Arial"/>
                <w:color w:val="1C2B2B"/>
                <w:sz w:val="20"/>
                <w:szCs w:val="20"/>
              </w:rPr>
              <w:t xml:space="preserve">Absorption Rate</w:t>
            </w:r>
          </w:p>
        </w:tc>
        <w:tc>
          <w:tcPr>
            <w:tcW w:type="dxa" w:w="3120"/>
            <w:tcBorders>
              <w:top w:val="single" w:color="C5DCDC" w:sz="1"/>
              <w:left w:val="single" w:color="C5DCDC" w:sz="1"/>
              <w:bottom w:val="single" w:color="C5DCDC" w:sz="1"/>
              <w:right w:val="single" w:color="C5DCDC" w:sz="1"/>
            </w:tcBorders>
            <w:shd w:fill="FFFFFF" w:val="clear"/>
            <w:tcMar>
              <w:top w:type="dxa" w:w="60"/>
              <w:left w:type="dxa" w:w="120"/>
              <w:bottom w:type="dxa" w:w="60"/>
              <w:right w:type="dxa" w:w="120"/>
            </w:tcMar>
          </w:tcPr>
          <w:p>
            <w:pPr>
              <w:jc w:val="right"/>
            </w:pPr>
            <w:r>
              <w:rPr>
                <w:rFonts w:ascii="Arial" w:cs="Arial" w:eastAsia="Arial" w:hAnsi="Arial"/>
                <w:b/>
                <w:bCs/>
                <w:color w:val="1A7A7A"/>
                <w:sz w:val="20"/>
                <w:szCs w:val="20"/>
              </w:rPr>
              <w:t xml:space="preserve">1–2 units/month</w:t>
            </w:r>
          </w:p>
        </w:tc>
      </w:tr>
      <w:tr>
        <w:tc>
          <w:tcPr>
            <w:tcW w:type="dxa" w:w="6240"/>
            <w:tcBorders>
              <w:top w:val="single" w:color="C5DCDC" w:sz="1"/>
              <w:left w:val="single" w:color="C5DCDC" w:sz="1"/>
              <w:bottom w:val="single" w:color="C5DCDC" w:sz="1"/>
              <w:right w:val="single" w:color="C5DCDC" w:sz="1"/>
            </w:tcBorders>
            <w:shd w:fill="E6F4F4" w:val="clear"/>
            <w:tcMar>
              <w:top w:type="dxa" w:w="60"/>
              <w:left w:type="dxa" w:w="120"/>
              <w:bottom w:type="dxa" w:w="60"/>
              <w:right w:type="dxa" w:w="120"/>
            </w:tcMar>
          </w:tcPr>
          <w:p>
            <w:r>
              <w:rPr>
                <w:rFonts w:ascii="Arial" w:cs="Arial" w:eastAsia="Arial" w:hAnsi="Arial"/>
                <w:color w:val="1C2B2B"/>
                <w:sz w:val="20"/>
                <w:szCs w:val="20"/>
              </w:rPr>
              <w:t xml:space="preserve">Ongoing Amenity Revenue</w:t>
            </w:r>
          </w:p>
        </w:tc>
        <w:tc>
          <w:tcPr>
            <w:tcW w:type="dxa" w:w="3120"/>
            <w:tcBorders>
              <w:top w:val="single" w:color="C5DCDC" w:sz="1"/>
              <w:left w:val="single" w:color="C5DCDC" w:sz="1"/>
              <w:bottom w:val="single" w:color="C5DCDC" w:sz="1"/>
              <w:right w:val="single" w:color="C5DCDC" w:sz="1"/>
            </w:tcBorders>
            <w:shd w:fill="E6F4F4" w:val="clear"/>
            <w:tcMar>
              <w:top w:type="dxa" w:w="60"/>
              <w:left w:type="dxa" w:w="120"/>
              <w:bottom w:type="dxa" w:w="60"/>
              <w:right w:type="dxa" w:w="120"/>
            </w:tcMar>
          </w:tcPr>
          <w:p>
            <w:pPr>
              <w:jc w:val="right"/>
            </w:pPr>
            <w:r>
              <w:rPr>
                <w:rFonts w:ascii="Arial" w:cs="Arial" w:eastAsia="Arial" w:hAnsi="Arial"/>
                <w:b/>
                <w:bCs/>
                <w:color w:val="1A7A7A"/>
                <w:sz w:val="20"/>
                <w:szCs w:val="20"/>
              </w:rPr>
              <w:t xml:space="preserve">$80K – $120K annually</w:t>
            </w:r>
          </w:p>
        </w:tc>
      </w:tr>
      <w:tr>
        <w:tc>
          <w:tcPr>
            <w:tcW w:type="dxa" w:w="6240"/>
            <w:tcBorders>
              <w:top w:val="single" w:color="C5DCDC" w:sz="1"/>
              <w:left w:val="single" w:color="C5DCDC" w:sz="1"/>
              <w:bottom w:val="single" w:color="C5DCDC" w:sz="1"/>
              <w:right w:val="single" w:color="C5DCDC" w:sz="1"/>
            </w:tcBorders>
            <w:shd w:fill="FFFFFF" w:val="clear"/>
            <w:tcMar>
              <w:top w:type="dxa" w:w="60"/>
              <w:left w:type="dxa" w:w="120"/>
              <w:bottom w:type="dxa" w:w="60"/>
              <w:right w:type="dxa" w:w="120"/>
            </w:tcMar>
          </w:tcPr>
          <w:p>
            <w:r>
              <w:rPr>
                <w:rFonts w:ascii="Arial" w:cs="Arial" w:eastAsia="Arial" w:hAnsi="Arial"/>
                <w:color w:val="1C2B2B"/>
                <w:sz w:val="20"/>
                <w:szCs w:val="20"/>
              </w:rPr>
              <w:t xml:space="preserve">Planning &amp; Permitting</w:t>
            </w:r>
          </w:p>
        </w:tc>
        <w:tc>
          <w:tcPr>
            <w:tcW w:type="dxa" w:w="3120"/>
            <w:tcBorders>
              <w:top w:val="single" w:color="C5DCDC" w:sz="1"/>
              <w:left w:val="single" w:color="C5DCDC" w:sz="1"/>
              <w:bottom w:val="single" w:color="C5DCDC" w:sz="1"/>
              <w:right w:val="single" w:color="C5DCDC" w:sz="1"/>
            </w:tcBorders>
            <w:shd w:fill="FFFFFF" w:val="clear"/>
            <w:tcMar>
              <w:top w:type="dxa" w:w="60"/>
              <w:left w:type="dxa" w:w="120"/>
              <w:bottom w:type="dxa" w:w="60"/>
              <w:right w:type="dxa" w:w="120"/>
            </w:tcMar>
          </w:tcPr>
          <w:p>
            <w:pPr>
              <w:jc w:val="right"/>
            </w:pPr>
            <w:r>
              <w:rPr>
                <w:rFonts w:ascii="Arial" w:cs="Arial" w:eastAsia="Arial" w:hAnsi="Arial"/>
                <w:b/>
                <w:bCs/>
                <w:color w:val="1A7A7A"/>
                <w:sz w:val="20"/>
                <w:szCs w:val="20"/>
              </w:rPr>
              <w:t xml:space="preserve">24 months</w:t>
            </w:r>
          </w:p>
        </w:tc>
      </w:tr>
      <w:tr>
        <w:tc>
          <w:tcPr>
            <w:tcW w:type="dxa" w:w="6240"/>
            <w:tcBorders>
              <w:top w:val="single" w:color="C5DCDC" w:sz="1"/>
              <w:left w:val="single" w:color="C5DCDC" w:sz="1"/>
              <w:bottom w:val="single" w:color="C5DCDC" w:sz="1"/>
              <w:right w:val="single" w:color="C5DCDC" w:sz="1"/>
            </w:tcBorders>
            <w:shd w:fill="E6F4F4" w:val="clear"/>
            <w:tcMar>
              <w:top w:type="dxa" w:w="60"/>
              <w:left w:type="dxa" w:w="120"/>
              <w:bottom w:type="dxa" w:w="60"/>
              <w:right w:type="dxa" w:w="120"/>
            </w:tcMar>
          </w:tcPr>
          <w:p>
            <w:r>
              <w:rPr>
                <w:rFonts w:ascii="Arial" w:cs="Arial" w:eastAsia="Arial" w:hAnsi="Arial"/>
                <w:color w:val="1C2B2B"/>
                <w:sz w:val="20"/>
                <w:szCs w:val="20"/>
              </w:rPr>
              <w:t xml:space="preserve">Construction</w:t>
            </w:r>
          </w:p>
        </w:tc>
        <w:tc>
          <w:tcPr>
            <w:tcW w:type="dxa" w:w="3120"/>
            <w:tcBorders>
              <w:top w:val="single" w:color="C5DCDC" w:sz="1"/>
              <w:left w:val="single" w:color="C5DCDC" w:sz="1"/>
              <w:bottom w:val="single" w:color="C5DCDC" w:sz="1"/>
              <w:right w:val="single" w:color="C5DCDC" w:sz="1"/>
            </w:tcBorders>
            <w:shd w:fill="E6F4F4" w:val="clear"/>
            <w:tcMar>
              <w:top w:type="dxa" w:w="60"/>
              <w:left w:type="dxa" w:w="120"/>
              <w:bottom w:type="dxa" w:w="60"/>
              <w:right w:type="dxa" w:w="120"/>
            </w:tcMar>
          </w:tcPr>
          <w:p>
            <w:pPr>
              <w:jc w:val="right"/>
            </w:pPr>
            <w:r>
              <w:rPr>
                <w:rFonts w:ascii="Arial" w:cs="Arial" w:eastAsia="Arial" w:hAnsi="Arial"/>
                <w:b/>
                <w:bCs/>
                <w:color w:val="1A7A7A"/>
                <w:sz w:val="20"/>
                <w:szCs w:val="20"/>
              </w:rPr>
              <w:t xml:space="preserve">30 months</w:t>
            </w:r>
          </w:p>
        </w:tc>
      </w:tr>
      <w:tr>
        <w:tc>
          <w:tcPr>
            <w:tcW w:type="dxa" w:w="6240"/>
            <w:tcBorders>
              <w:top w:val="single" w:color="C5DCDC" w:sz="1"/>
              <w:left w:val="single" w:color="C5DCDC" w:sz="1"/>
              <w:bottom w:val="single" w:color="C5DCDC" w:sz="1"/>
              <w:right w:val="single" w:color="C5DCDC" w:sz="1"/>
            </w:tcBorders>
            <w:shd w:fill="FFFFFF" w:val="clear"/>
            <w:tcMar>
              <w:top w:type="dxa" w:w="60"/>
              <w:left w:type="dxa" w:w="120"/>
              <w:bottom w:type="dxa" w:w="60"/>
              <w:right w:type="dxa" w:w="120"/>
            </w:tcMar>
          </w:tcPr>
          <w:p>
            <w:r>
              <w:rPr>
                <w:rFonts w:ascii="Arial" w:cs="Arial" w:eastAsia="Arial" w:hAnsi="Arial"/>
                <w:color w:val="1C2B2B"/>
                <w:sz w:val="20"/>
                <w:szCs w:val="20"/>
              </w:rPr>
              <w:t xml:space="preserve">Sellout Period</w:t>
            </w:r>
          </w:p>
        </w:tc>
        <w:tc>
          <w:tcPr>
            <w:tcW w:type="dxa" w:w="3120"/>
            <w:tcBorders>
              <w:top w:val="single" w:color="C5DCDC" w:sz="1"/>
              <w:left w:val="single" w:color="C5DCDC" w:sz="1"/>
              <w:bottom w:val="single" w:color="C5DCDC" w:sz="1"/>
              <w:right w:val="single" w:color="C5DCDC" w:sz="1"/>
            </w:tcBorders>
            <w:shd w:fill="FFFFFF" w:val="clear"/>
            <w:tcMar>
              <w:top w:type="dxa" w:w="60"/>
              <w:left w:type="dxa" w:w="120"/>
              <w:bottom w:type="dxa" w:w="60"/>
              <w:right w:type="dxa" w:w="120"/>
            </w:tcMar>
          </w:tcPr>
          <w:p>
            <w:pPr>
              <w:jc w:val="right"/>
            </w:pPr>
            <w:r>
              <w:rPr>
                <w:rFonts w:ascii="Arial" w:cs="Arial" w:eastAsia="Arial" w:hAnsi="Arial"/>
                <w:b/>
                <w:bCs/>
                <w:color w:val="1A7A7A"/>
                <w:sz w:val="20"/>
                <w:szCs w:val="20"/>
              </w:rPr>
              <w:t xml:space="preserve">20 months</w:t>
            </w:r>
          </w:p>
        </w:tc>
      </w:tr>
    </w:tbl>
    <w:p>
      <w:pPr>
        <w:spacing w:before="0" w:after="80"/>
      </w:pPr>
      <w:r>
        <w:t xml:space="preserve"/>
      </w:r>
    </w:p>
    <w:p>
      <w:pPr>
        <w:spacing w:before="80" w:after="80"/>
      </w:pPr>
      <w:r>
        <w:rPr>
          <w:rFonts w:ascii="Arial" w:cs="Arial" w:eastAsia="Arial" w:hAnsi="Arial"/>
          <w:b w:val="false"/>
          <w:bCs w:val="false"/>
          <w:i w:val="false"/>
          <w:iCs w:val="false"/>
          <w:color w:val="1C2B2B"/>
          <w:sz w:val="22"/>
          <w:szCs w:val="22"/>
        </w:rPr>
        <w:t xml:space="preserve">Unit pricing of $150,000–$200,000 is attainable for cash buyers or downsizers applying home sale equity from a typical South Florida single-family home. Given current median home values in Broward and Palm Beach Counties, many target buyers will have sufficient equity from a prior sale to purchase without a mortgage.</w:t>
      </w:r>
    </w:p>
    <w:p>
      <w:pPr>
        <w:spacing w:before="0" w:after="160"/>
      </w:pPr>
      <w:r>
        <w:t xml:space="preserve"/>
      </w:r>
    </w:p>
    <w:p>
      <w:pPr>
        <w:pStyle w:val="Heading1"/>
        <w:pBdr>
          <w:bottom w:val="single" w:color="1A7A7A" w:sz="8" w:space="4"/>
        </w:pBdr>
        <w:spacing w:before="360" w:after="120"/>
      </w:pPr>
      <w:r>
        <w:rPr>
          <w:rFonts w:ascii="Arial" w:cs="Arial" w:eastAsia="Arial" w:hAnsi="Arial"/>
          <w:b/>
          <w:bCs/>
          <w:color w:val="1A7A7A"/>
          <w:sz w:val="28"/>
          <w:szCs w:val="28"/>
        </w:rPr>
        <w:t xml:space="preserve">Why Now</w:t>
      </w:r>
    </w:p>
    <w:p>
      <w:pPr>
        <w:pStyle w:val="ListParagraph"/>
        <w:numPr>
          <w:ilvl w:val="0"/>
          <w:numId w:val="2"/>
        </w:numPr>
        <w:spacing w:before="60" w:after="60"/>
      </w:pPr>
      <w:r>
        <w:rPr>
          <w:rFonts w:ascii="Arial" w:cs="Arial" w:eastAsia="Arial" w:hAnsi="Arial"/>
          <w:color w:val="1C2B2B"/>
          <w:sz w:val="22"/>
          <w:szCs w:val="22"/>
        </w:rPr>
        <w:t xml:space="preserve">The 55+ population is growing 45% over the next decade — 1 in 5 Americans will be 55+ by 2030</w:t>
      </w:r>
    </w:p>
    <w:p>
      <w:pPr>
        <w:pStyle w:val="ListParagraph"/>
        <w:numPr>
          <w:ilvl w:val="0"/>
          <w:numId w:val="2"/>
        </w:numPr>
        <w:spacing w:before="60" w:after="60"/>
      </w:pPr>
      <w:r>
        <w:rPr>
          <w:rFonts w:ascii="Arial" w:cs="Arial" w:eastAsia="Arial" w:hAnsi="Arial"/>
          <w:color w:val="1C2B2B"/>
          <w:sz w:val="22"/>
          <w:szCs w:val="22"/>
        </w:rPr>
        <w:t xml:space="preserve">Deerfield Beach already has 23.3% of its population aged 65+ — significantly ahead of national trends</w:t>
      </w:r>
    </w:p>
    <w:p>
      <w:pPr>
        <w:pStyle w:val="ListParagraph"/>
        <w:numPr>
          <w:ilvl w:val="0"/>
          <w:numId w:val="2"/>
        </w:numPr>
        <w:spacing w:before="60" w:after="60"/>
      </w:pPr>
      <w:r>
        <w:rPr>
          <w:rFonts w:ascii="Arial" w:cs="Arial" w:eastAsia="Arial" w:hAnsi="Arial"/>
          <w:color w:val="1C2B2B"/>
          <w:sz w:val="22"/>
          <w:szCs w:val="22"/>
        </w:rPr>
        <w:t xml:space="preserve">The majority of retirees rely on Social Security as their primary income — a massive, overlooked buyer pool with genuine housing need in this specific market</w:t>
      </w:r>
    </w:p>
    <w:p>
      <w:pPr>
        <w:pStyle w:val="ListParagraph"/>
        <w:numPr>
          <w:ilvl w:val="0"/>
          <w:numId w:val="2"/>
        </w:numPr>
        <w:spacing w:before="60" w:after="60"/>
      </w:pPr>
      <w:r>
        <w:rPr>
          <w:rFonts w:ascii="Arial" w:cs="Arial" w:eastAsia="Arial" w:hAnsi="Arial"/>
          <w:color w:val="1C2B2B"/>
          <w:sz w:val="22"/>
          <w:szCs w:val="22"/>
        </w:rPr>
        <w:t xml:space="preserve">38% of 55+ buyers nationally plan to pay cash for their next home, making the $150K–$200K price point a realistic target</w:t>
      </w:r>
    </w:p>
    <w:p>
      <w:pPr>
        <w:pStyle w:val="ListParagraph"/>
        <w:numPr>
          <w:ilvl w:val="0"/>
          <w:numId w:val="2"/>
        </w:numPr>
        <w:spacing w:before="60" w:after="60"/>
      </w:pPr>
      <w:r>
        <w:rPr>
          <w:rFonts w:ascii="Arial" w:cs="Arial" w:eastAsia="Arial" w:hAnsi="Arial"/>
          <w:color w:val="1C2B2B"/>
          <w:sz w:val="22"/>
          <w:szCs w:val="22"/>
        </w:rPr>
        <w:t xml:space="preserve">SEC advancing real estate tokenization framework (2026) — regulatory clarity is imminent</w:t>
      </w:r>
    </w:p>
    <w:p>
      <w:pPr>
        <w:pStyle w:val="ListParagraph"/>
        <w:numPr>
          <w:ilvl w:val="0"/>
          <w:numId w:val="2"/>
        </w:numPr>
        <w:spacing w:before="60" w:after="60"/>
      </w:pPr>
      <w:r>
        <w:rPr>
          <w:rFonts w:ascii="Arial" w:cs="Arial" w:eastAsia="Arial" w:hAnsi="Arial"/>
          <w:color w:val="1C2B2B"/>
          <w:sz w:val="22"/>
          <w:szCs w:val="22"/>
        </w:rPr>
        <w:t xml:space="preserve">Blockchain automation keeps HOA fees low, making monthly costs predictable and sustainable on a fixed income</w:t>
      </w:r>
    </w:p>
    <w:p>
      <w:pPr>
        <w:pStyle w:val="ListParagraph"/>
        <w:numPr>
          <w:ilvl w:val="0"/>
          <w:numId w:val="2"/>
        </w:numPr>
        <w:spacing w:before="60" w:after="60"/>
      </w:pPr>
      <w:r>
        <w:rPr>
          <w:rFonts w:ascii="Arial" w:cs="Arial" w:eastAsia="Arial" w:hAnsi="Arial"/>
          <w:color w:val="1C2B2B"/>
          <w:sz w:val="22"/>
          <w:szCs w:val="22"/>
        </w:rPr>
        <w:t xml:space="preserve">No existing for-sale community in the Boca Raton / Deerfield Beach corridor serves this segment with technology-enabled, attainable-priced housing — the market gap is wide open</w:t>
      </w:r>
    </w:p>
    <w:p>
      <w:pPr>
        <w:spacing w:before="0" w:after="160"/>
      </w:pPr>
      <w:r>
        <w:t xml:space="preserve"/>
      </w:r>
    </w:p>
    <w:p>
      <w:pPr>
        <w:pStyle w:val="Heading1"/>
        <w:pBdr>
          <w:bottom w:val="single" w:color="1A7A7A" w:sz="8" w:space="4"/>
        </w:pBdr>
        <w:spacing w:before="360" w:after="120"/>
      </w:pPr>
      <w:r>
        <w:rPr>
          <w:rFonts w:ascii="Arial" w:cs="Arial" w:eastAsia="Arial" w:hAnsi="Arial"/>
          <w:b/>
          <w:bCs/>
          <w:color w:val="1A7A7A"/>
          <w:sz w:val="28"/>
          <w:szCs w:val="28"/>
        </w:rPr>
        <w:t xml:space="preserve">The Partnership Opportunity</w:t>
      </w:r>
    </w:p>
    <w:p>
      <w:pPr>
        <w:spacing w:before="80" w:after="80"/>
      </w:pPr>
      <w:r>
        <w:rPr>
          <w:rFonts w:ascii="Arial" w:cs="Arial" w:eastAsia="Arial" w:hAnsi="Arial"/>
          <w:b w:val="false"/>
          <w:bCs w:val="false"/>
          <w:i w:val="false"/>
          <w:iCs w:val="false"/>
          <w:color w:val="1C2B2B"/>
          <w:sz w:val="22"/>
          <w:szCs w:val="22"/>
        </w:rPr>
        <w:t xml:space="preserve">Onboard60 is seeking a development partner to bring this model to market in the Boca Raton / Deerfield Beach corridor. The business plan, technology partners, and legal framework are in place. What is needed is a development partner with local site access, entitlement experience in Broward or Palm Beach County, and the vision to serve a buyer no one else is building for.</w:t>
      </w:r>
    </w:p>
    <w:p>
      <w:pPr>
        <w:spacing w:before="0" w:after="80"/>
      </w:pPr>
      <w:r>
        <w:t xml:space="preserve"/>
      </w:r>
    </w:p>
    <w:p>
      <w:pPr>
        <w:spacing w:before="80" w:after="80"/>
      </w:pPr>
      <w:r>
        <w:rPr>
          <w:rFonts w:ascii="Arial" w:cs="Arial" w:eastAsia="Arial" w:hAnsi="Arial"/>
          <w:b w:val="false"/>
          <w:bCs w:val="false"/>
          <w:i w:val="false"/>
          <w:iCs w:val="false"/>
          <w:color w:val="1C2B2B"/>
          <w:sz w:val="22"/>
          <w:szCs w:val="22"/>
        </w:rPr>
        <w:t xml:space="preserve">The first developer to build attainable, tech-enabled senior living for fixed-income adults in South Florida will own a category no one else is serving — and the demand is already here, today, in this market.</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5DCDC" w:sz="1"/>
              <w:left w:val="single" w:color="C5DCDC" w:sz="1"/>
              <w:bottom w:val="single" w:color="C5DCDC" w:sz="1"/>
              <w:right w:val="single" w:color="C5DCDC" w:sz="1"/>
            </w:tcBorders>
            <w:shd w:fill="E6F4F4" w:val="clear"/>
            <w:tcMar>
              <w:top w:type="dxa" w:w="160"/>
              <w:left w:type="dxa" w:w="240"/>
              <w:bottom w:type="dxa" w:w="160"/>
              <w:right w:type="dxa" w:w="240"/>
            </w:tcMar>
          </w:tcPr>
          <w:p>
            <w:pPr>
              <w:spacing w:before="60" w:after="80"/>
            </w:pPr>
            <w:r>
              <w:rPr>
                <w:rFonts w:ascii="Arial" w:cs="Arial" w:eastAsia="Arial" w:hAnsi="Arial"/>
                <w:b/>
                <w:bCs/>
                <w:color w:val="1A7A7A"/>
                <w:sz w:val="22"/>
                <w:szCs w:val="22"/>
              </w:rPr>
              <w:t xml:space="preserve">Next Step: 60-Minute Discovery Meeting</w:t>
            </w:r>
          </w:p>
          <w:p>
            <w:pPr>
              <w:spacing w:before="40" w:after="40"/>
            </w:pPr>
            <w:r>
              <w:rPr>
                <w:rFonts w:ascii="Arial" w:cs="Arial" w:eastAsia="Arial" w:hAnsi="Arial"/>
                <w:color w:val="1C2B2B"/>
                <w:sz w:val="20"/>
                <w:szCs w:val="20"/>
              </w:rPr>
              <w:t xml:space="preserve">I invite you to a 60-minute discovery meeting to:</w:t>
            </w:r>
          </w:p>
          <w:p>
            <w:pPr>
              <w:spacing w:before="40" w:after="40"/>
            </w:pPr>
            <w:r>
              <w:rPr>
                <w:rFonts w:ascii="Arial" w:cs="Arial" w:eastAsia="Arial" w:hAnsi="Arial"/>
                <w:color w:val="1C2B2B"/>
                <w:sz w:val="20"/>
                <w:szCs w:val="20"/>
              </w:rPr>
              <w:t xml:space="preserve">•  Review the full business plan and financial model</w:t>
            </w:r>
          </w:p>
          <w:p>
            <w:pPr>
              <w:spacing w:before="40" w:after="40"/>
            </w:pPr>
            <w:r>
              <w:rPr>
                <w:rFonts w:ascii="Arial" w:cs="Arial" w:eastAsia="Arial" w:hAnsi="Arial"/>
                <w:color w:val="1C2B2B"/>
                <w:sz w:val="20"/>
                <w:szCs w:val="20"/>
              </w:rPr>
              <w:t xml:space="preserve">•  Meet the technology partners</w:t>
            </w:r>
          </w:p>
          <w:p>
            <w:pPr>
              <w:spacing w:before="40" w:after="40"/>
            </w:pPr>
            <w:r>
              <w:rPr>
                <w:rFonts w:ascii="Arial" w:cs="Arial" w:eastAsia="Arial" w:hAnsi="Arial"/>
                <w:color w:val="1C2B2B"/>
                <w:sz w:val="20"/>
                <w:szCs w:val="20"/>
              </w:rPr>
              <w:t xml:space="preserve">•  Discuss site criteria for the Boca Raton / Deerfield Beach area</w:t>
            </w:r>
          </w:p>
          <w:p>
            <w:pPr>
              <w:spacing w:before="40" w:after="40"/>
            </w:pPr>
            <w:r>
              <w:rPr>
                <w:rFonts w:ascii="Arial" w:cs="Arial" w:eastAsia="Arial" w:hAnsi="Arial"/>
                <w:color w:val="1C2B2B"/>
                <w:sz w:val="20"/>
                <w:szCs w:val="20"/>
              </w:rPr>
              <w:t xml:space="preserve">•  Explore a partnership structure aligned to mutual success</w:t>
            </w:r>
          </w:p>
        </w:tc>
      </w:tr>
    </w:tbl>
    <w:p>
      <w:pPr>
        <w:spacing w:before="0"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5DCDC" w:sz="1"/>
              <w:left w:val="single" w:color="C5DCDC" w:sz="1"/>
              <w:bottom w:val="single" w:color="C5DCDC" w:sz="1"/>
              <w:right w:val="single" w:color="C5DCDC" w:sz="1"/>
            </w:tcBorders>
            <w:shd w:fill="1A7A7A" w:val="clear"/>
            <w:tcMar>
              <w:top w:type="dxa" w:w="240"/>
              <w:left w:type="dxa" w:w="360"/>
              <w:bottom w:type="dxa" w:w="240"/>
              <w:right w:type="dxa" w:w="360"/>
            </w:tcMar>
          </w:tcPr>
          <w:p>
            <w:pPr>
              <w:spacing w:before="0" w:after="80"/>
              <w:jc w:val="center"/>
            </w:pPr>
            <w:r>
              <w:rPr>
                <w:rFonts w:ascii="Arial" w:cs="Arial" w:eastAsia="Arial" w:hAnsi="Arial"/>
                <w:b/>
                <w:bCs/>
                <w:color w:val="FFFFFF"/>
                <w:sz w:val="28"/>
                <w:szCs w:val="28"/>
              </w:rPr>
              <w:t xml:space="preserve">Sandra Abrams</w:t>
            </w:r>
          </w:p>
          <w:p>
            <w:pPr>
              <w:spacing w:before="0" w:after="60"/>
              <w:jc w:val="center"/>
            </w:pPr>
            <w:r>
              <w:rPr>
                <w:rFonts w:ascii="Arial" w:cs="Arial" w:eastAsia="Arial" w:hAnsi="Arial"/>
                <w:color w:val="E6F4F4"/>
                <w:sz w:val="22"/>
                <w:szCs w:val="22"/>
              </w:rPr>
              <w:t xml:space="preserve">Founder, Onboard60 Corporation</w:t>
            </w:r>
          </w:p>
          <w:p>
            <w:pPr>
              <w:jc w:val="center"/>
            </w:pPr>
            <w:r>
              <w:rPr>
                <w:rFonts w:ascii="Arial" w:cs="Arial" w:eastAsia="Arial" w:hAnsi="Arial"/>
                <w:color w:val="C8952A"/>
                <w:sz w:val="20"/>
                <w:szCs w:val="20"/>
              </w:rPr>
              <w:t xml:space="preserve">sandraonboard60@gmail.com  •  Boca Raton, Florida 33432  •  https://linqapp.com/sandra_abrams</w:t>
            </w:r>
          </w:p>
        </w:tc>
      </w:tr>
    </w:tbl>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2DADA" w:sz="4" w:space="4"/>
      </w:pBdr>
      <w:tabs>
        <w:tab w:val="right" w:pos="9360"/>
      </w:tabs>
      <w:spacing w:before="80"/>
    </w:pPr>
    <w:r>
      <w:rPr>
        <w:rFonts w:ascii="Arial" w:cs="Arial" w:eastAsia="Arial" w:hAnsi="Arial"/>
        <w:color w:val="666666"/>
        <w:sz w:val="16"/>
        <w:szCs w:val="16"/>
      </w:rPr>
      <w:t xml:space="preserve">Confidential Business Proposal — Sandra Abrams, Founder</w:t>
    </w:r>
    <w:r>
      <w:rPr>
        <w:rFonts w:ascii="Arial" w:cs="Arial" w:eastAsia="Arial" w:hAnsi="Arial"/>
        <w:color w:val="666666"/>
        <w:sz w:val="16"/>
        <w:szCs w:val="16"/>
      </w:rPr>
      <w:t xml:space="preserve">	Page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A7A7A" w:sz="6" w:space="4"/>
      </w:pBdr>
      <w:tabs>
        <w:tab w:val="right" w:pos="9360"/>
      </w:tabs>
      <w:spacing w:after="120"/>
    </w:pPr>
    <w:r>
      <w:rPr>
        <w:rFonts w:ascii="Arial" w:cs="Arial" w:eastAsia="Arial" w:hAnsi="Arial"/>
        <w:b/>
        <w:bCs/>
        <w:color w:val="1A7A7A"/>
        <w:sz w:val="18"/>
        <w:szCs w:val="18"/>
      </w:rPr>
      <w:t xml:space="preserve">ONBOARD60 ACTIVE 55+ COMMUNITIES</w:t>
    </w:r>
    <w:r>
      <w:rPr>
        <w:rFonts w:ascii="Arial" w:cs="Arial" w:eastAsia="Arial" w:hAnsi="Arial"/>
        <w:color w:val="666666"/>
        <w:sz w:val="18"/>
        <w:szCs w:val="18"/>
      </w:rPr>
      <w:t xml:space="preserve">	Boca Raton / Deerfield Beach, Florida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20"/>
      <w:outlineLvl w:val="0"/>
    </w:pPr>
    <w:rPr>
      <w:rFonts w:ascii="Arial" w:cs="Arial" w:eastAsia="Arial" w:hAnsi="Arial"/>
      <w:b/>
      <w:bCs/>
      <w:color w:val="1A7A7A"/>
      <w:sz w:val="28"/>
      <w:szCs w:val="28"/>
    </w:rPr>
  </w:style>
  <w:style w:type="paragraph" w:styleId="Heading2">
    <w:name w:val="Heading 2"/>
    <w:basedOn w:val="Normal"/>
    <w:next w:val="Normal"/>
    <w:qFormat/>
    <w:pPr>
      <w:spacing w:before="240" w:after="80"/>
      <w:outlineLvl w:val="1"/>
    </w:pPr>
    <w:rPr>
      <w:rFonts w:ascii="Arial" w:cs="Arial" w:eastAsia="Arial" w:hAnsi="Arial"/>
      <w:b/>
      <w:bCs/>
      <w:color w:val="1C2B2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2026-03-13T17:18:21.219Z</dcterms:created>
  <dcterms:modified xsi:type="dcterms:W3CDTF">2026-03-13T17:18:21.220Z</dcterms:modified>
</cp:coreProperties>
</file>

<file path=docProps/custom.xml><?xml version="1.0" encoding="utf-8"?>
<Properties xmlns="http://schemas.openxmlformats.org/officeDocument/2006/custom-properties" xmlns:vt="http://schemas.openxmlformats.org/officeDocument/2006/docPropsVTypes"/>
</file>