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FA860" w14:textId="474AE1CC" w:rsidR="009C1E89" w:rsidRPr="006A7073" w:rsidRDefault="006A7073" w:rsidP="006A7073">
      <w:pPr>
        <w:spacing w:before="240" w:after="80" w:line="240" w:lineRule="auto"/>
        <w:jc w:val="center"/>
        <w:rPr>
          <w:rFonts w:ascii="Times New Roman" w:hAnsi="Times New Roman" w:cs="Times New Roman"/>
          <w:color w:val="auto"/>
          <w:szCs w:val="24"/>
        </w:rPr>
      </w:pPr>
      <w:r>
        <w:rPr>
          <w:rFonts w:ascii="Times New Roman" w:hAnsi="Times New Roman" w:cs="Times New Roman"/>
          <w:b/>
          <w:color w:val="auto"/>
          <w:szCs w:val="24"/>
        </w:rPr>
        <w:t>GROUP 8</w:t>
      </w:r>
      <w:r w:rsidRPr="006A7073">
        <w:rPr>
          <w:rFonts w:ascii="Times New Roman" w:hAnsi="Times New Roman" w:cs="Times New Roman"/>
          <w:b/>
          <w:color w:val="auto"/>
          <w:szCs w:val="24"/>
        </w:rPr>
        <w:t xml:space="preserve"> CAPSTONE PROJECT</w:t>
      </w:r>
    </w:p>
    <w:p w14:paraId="0ABB11FE" w14:textId="77777777" w:rsidR="009C1E89" w:rsidRPr="006A7073" w:rsidRDefault="00000000" w:rsidP="006A7073">
      <w:pPr>
        <w:spacing w:after="280" w:line="240" w:lineRule="auto"/>
        <w:jc w:val="center"/>
        <w:rPr>
          <w:rFonts w:ascii="Times New Roman" w:hAnsi="Times New Roman" w:cs="Times New Roman"/>
          <w:color w:val="auto"/>
          <w:szCs w:val="24"/>
        </w:rPr>
      </w:pPr>
      <w:r w:rsidRPr="006A7073">
        <w:rPr>
          <w:rFonts w:ascii="Times New Roman" w:hAnsi="Times New Roman" w:cs="Times New Roman"/>
          <w:b/>
          <w:i/>
          <w:color w:val="auto"/>
          <w:szCs w:val="24"/>
        </w:rPr>
        <w:t>Early Dysgraphia Screening from Handwriting (CRISP-DM Process Documentation)</w:t>
      </w:r>
    </w:p>
    <w:tbl>
      <w:tblPr>
        <w:tblW w:w="0" w:type="auto"/>
        <w:jc w:val="center"/>
        <w:tblLook w:val="04A0" w:firstRow="1" w:lastRow="0" w:firstColumn="1" w:lastColumn="0" w:noHBand="0" w:noVBand="1"/>
      </w:tblPr>
      <w:tblGrid>
        <w:gridCol w:w="9360"/>
      </w:tblGrid>
      <w:tr w:rsidR="006A7073" w:rsidRPr="006A7073" w14:paraId="5AFB8E2F" w14:textId="77777777">
        <w:trPr>
          <w:jc w:val="center"/>
        </w:trPr>
        <w:tc>
          <w:tcPr>
            <w:tcW w:w="9360" w:type="dxa"/>
            <w:shd w:val="clear" w:color="auto" w:fill="F0F4F8"/>
            <w:tcMar>
              <w:top w:w="140" w:type="dxa"/>
              <w:left w:w="200" w:type="dxa"/>
              <w:bottom w:w="140" w:type="dxa"/>
              <w:right w:w="200" w:type="dxa"/>
            </w:tcMar>
          </w:tcPr>
          <w:p w14:paraId="45ADE9B5" w14:textId="77777777" w:rsidR="009C1E89" w:rsidRPr="006A7073" w:rsidRDefault="00000000" w:rsidP="006A7073">
            <w:pPr>
              <w:spacing w:after="40" w:line="240" w:lineRule="auto"/>
              <w:jc w:val="center"/>
              <w:rPr>
                <w:rFonts w:ascii="Times New Roman" w:hAnsi="Times New Roman" w:cs="Times New Roman"/>
                <w:color w:val="auto"/>
                <w:szCs w:val="24"/>
              </w:rPr>
            </w:pPr>
            <w:r w:rsidRPr="006A7073">
              <w:rPr>
                <w:rFonts w:ascii="Times New Roman" w:hAnsi="Times New Roman" w:cs="Times New Roman"/>
                <w:b/>
                <w:color w:val="auto"/>
                <w:szCs w:val="24"/>
              </w:rPr>
              <w:t>Project Team &amp; Authors:</w:t>
            </w:r>
          </w:p>
          <w:p w14:paraId="3BEBAA93" w14:textId="3017C190" w:rsidR="009C1E89" w:rsidRPr="006A7073" w:rsidRDefault="00000000" w:rsidP="006A7073">
            <w:pPr>
              <w:spacing w:after="0" w:line="240" w:lineRule="auto"/>
              <w:jc w:val="center"/>
              <w:rPr>
                <w:rFonts w:ascii="Times New Roman" w:hAnsi="Times New Roman" w:cs="Times New Roman"/>
                <w:color w:val="auto"/>
                <w:szCs w:val="24"/>
              </w:rPr>
            </w:pPr>
            <w:r w:rsidRPr="006A7073">
              <w:rPr>
                <w:rFonts w:ascii="Times New Roman" w:hAnsi="Times New Roman" w:cs="Times New Roman"/>
                <w:color w:val="auto"/>
                <w:szCs w:val="24"/>
              </w:rPr>
              <w:t>Samson Shieunda (Group Leader), Eric Kisu, Dax Kariuki, Emmanuel Gunga, Ahmed Noor, Lucy Wain</w:t>
            </w:r>
            <w:r w:rsidR="006A7073">
              <w:rPr>
                <w:rFonts w:ascii="Times New Roman" w:hAnsi="Times New Roman" w:cs="Times New Roman"/>
                <w:color w:val="auto"/>
                <w:szCs w:val="24"/>
              </w:rPr>
              <w:t>o</w:t>
            </w:r>
            <w:r w:rsidRPr="006A7073">
              <w:rPr>
                <w:rFonts w:ascii="Times New Roman" w:hAnsi="Times New Roman" w:cs="Times New Roman"/>
                <w:color w:val="auto"/>
                <w:szCs w:val="24"/>
              </w:rPr>
              <w:t>ga</w:t>
            </w:r>
          </w:p>
        </w:tc>
      </w:tr>
    </w:tbl>
    <w:p w14:paraId="02E44348" w14:textId="77777777" w:rsidR="009C1E89" w:rsidRPr="006A7073" w:rsidRDefault="00000000" w:rsidP="006A7073">
      <w:pPr>
        <w:spacing w:before="320" w:after="160" w:line="240" w:lineRule="auto"/>
        <w:jc w:val="center"/>
        <w:rPr>
          <w:rFonts w:ascii="Times New Roman" w:hAnsi="Times New Roman" w:cs="Times New Roman"/>
          <w:color w:val="auto"/>
          <w:szCs w:val="24"/>
        </w:rPr>
      </w:pPr>
      <w:r w:rsidRPr="006A7073">
        <w:rPr>
          <w:rFonts w:ascii="Times New Roman" w:hAnsi="Times New Roman" w:cs="Times New Roman"/>
          <w:b/>
          <w:color w:val="auto"/>
          <w:szCs w:val="24"/>
        </w:rPr>
        <w:t>Step 1: Business Understanding</w:t>
      </w:r>
    </w:p>
    <w:p w14:paraId="09F5D2D6"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1.1 Domain Overview</w:t>
      </w:r>
    </w:p>
    <w:p w14:paraId="36A61FA1"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Dysgraphia is a writing specific learning difficulty where a child's handwriting fails to match what is expected for their age and cognitive level. It manifests as poor letter formation, inconsistent spacing and sizing, irregular pen pressure, and difficulty maintaining a straight baseline. It is one of the most common, yet most frequently overlooked, learning difficulties among primary school children. In under resourced educational environments, such as public primary schools in Kenya, educational psychologists are rarely available, preventing early referral. Consequently, affected children are often mislabeled as slow, careless, or unmotivated, compounding psychological distress on top of academic challenges.</w:t>
      </w:r>
    </w:p>
    <w:p w14:paraId="1E1843B0"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1.2 Problem Statement</w:t>
      </w:r>
    </w:p>
    <w:p w14:paraId="23E98A2F" w14:textId="1D889C55"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Teachers and parents currently lack a rapid, low</w:t>
      </w:r>
      <w:r w:rsidR="006A7073">
        <w:rPr>
          <w:rFonts w:ascii="Times New Roman" w:hAnsi="Times New Roman" w:cs="Times New Roman"/>
          <w:color w:val="auto"/>
          <w:szCs w:val="24"/>
        </w:rPr>
        <w:t>-</w:t>
      </w:r>
      <w:r w:rsidRPr="006A7073">
        <w:rPr>
          <w:rFonts w:ascii="Times New Roman" w:hAnsi="Times New Roman" w:cs="Times New Roman"/>
          <w:color w:val="auto"/>
          <w:szCs w:val="24"/>
        </w:rPr>
        <w:t>cost screening mechanism to evaluate whether a child's handwriting exhibits dysgraphia related patterns prior to pursuing costly specialist assessments. Although early indicators are visible from initial writing exercises, identification currently relies on informal observation over extended periods. Children from lower income households face the greatest disadvantage due to limited access to diagnostic pathways.</w:t>
      </w:r>
    </w:p>
    <w:p w14:paraId="5166FF58"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1.3 Proposed Solution</w:t>
      </w:r>
    </w:p>
    <w:p w14:paraId="775EBDBD"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We propose a deep learning screening tool that evaluates digitized handwriting samples (scans or photographs) to classify them into Potential Dysgraphia or Low Potential Dysgraphia categories. The system generates a confidence probability along with interpretable structural indicators such as spacing consistency and baseline alignment. Positioned strictly as an early awareness and referral instrument rather than a clinical diagnostic tool, a positive classification serves as a formal recommendation for professional evaluation.</w:t>
      </w:r>
    </w:p>
    <w:p w14:paraId="08A1F5A6"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1.4 Business Objectives &amp; Key Success Criteria</w:t>
      </w:r>
    </w:p>
    <w:p w14:paraId="485989B1"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Binary Classification Architecture: </w:t>
      </w:r>
      <w:r w:rsidRPr="006A7073">
        <w:rPr>
          <w:rFonts w:ascii="Times New Roman" w:hAnsi="Times New Roman" w:cs="Times New Roman"/>
          <w:color w:val="auto"/>
          <w:szCs w:val="24"/>
        </w:rPr>
        <w:t>Develop a binary Convolutional Neural Network (CNN) classifier aligned with clinical annotation standards established by professional assessors.</w:t>
      </w:r>
    </w:p>
    <w:p w14:paraId="2E042178"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Feature Extraction via Transfer Learning: </w:t>
      </w:r>
      <w:r w:rsidRPr="006A7073">
        <w:rPr>
          <w:rFonts w:ascii="Times New Roman" w:hAnsi="Times New Roman" w:cs="Times New Roman"/>
          <w:color w:val="auto"/>
          <w:szCs w:val="24"/>
        </w:rPr>
        <w:t>Leverage transfer learning backbones to identify spatial writing anomalies, including irregular letter geometry, sizing variation, pressure imbalance, and baseline instability.</w:t>
      </w:r>
    </w:p>
    <w:p w14:paraId="6F84CE16"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Interpretable Diagnostic Outputs: </w:t>
      </w:r>
      <w:r w:rsidRPr="006A7073">
        <w:rPr>
          <w:rFonts w:ascii="Times New Roman" w:hAnsi="Times New Roman" w:cs="Times New Roman"/>
          <w:color w:val="auto"/>
          <w:szCs w:val="24"/>
        </w:rPr>
        <w:t>Pair deep feature extractions with interpretable, statistical indicators to provide actionable insights for educators and guardians.</w:t>
      </w:r>
    </w:p>
    <w:p w14:paraId="54E3057F"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lastRenderedPageBreak/>
        <w:t xml:space="preserve">Sensitivity-Oriented Optimization: </w:t>
      </w:r>
      <w:r w:rsidRPr="006A7073">
        <w:rPr>
          <w:rFonts w:ascii="Times New Roman" w:hAnsi="Times New Roman" w:cs="Times New Roman"/>
          <w:color w:val="auto"/>
          <w:szCs w:val="24"/>
        </w:rPr>
        <w:t>Prioritize sensitivity (recall) on the Potential Dysgraphia class to minimize false negative non detections.</w:t>
      </w:r>
    </w:p>
    <w:p w14:paraId="2456BB5F"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Accessible Web Deployment: </w:t>
      </w:r>
      <w:r w:rsidRPr="006A7073">
        <w:rPr>
          <w:rFonts w:ascii="Times New Roman" w:hAnsi="Times New Roman" w:cs="Times New Roman"/>
          <w:color w:val="auto"/>
          <w:szCs w:val="24"/>
        </w:rPr>
        <w:t>Deploy the model within a lightweight web application to facilitate accessibility across educational institutions.</w:t>
      </w:r>
    </w:p>
    <w:p w14:paraId="2E5EE402"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Evaluation Criteria: </w:t>
      </w:r>
      <w:r w:rsidRPr="006A7073">
        <w:rPr>
          <w:rFonts w:ascii="Times New Roman" w:hAnsi="Times New Roman" w:cs="Times New Roman"/>
          <w:color w:val="auto"/>
          <w:szCs w:val="24"/>
        </w:rPr>
        <w:t>Model performance is evaluated based on high Potential Dysgraphia recall, robust F1-score and ROC-AUC metrics, balanced precision to limit unnecessary anxiety, and Grad-CAM interpretability confirming reliance on stroke geometry rather than image artifacts.</w:t>
      </w:r>
    </w:p>
    <w:p w14:paraId="095DF8EC"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1.5 Target Stakeholders</w:t>
      </w:r>
    </w:p>
    <w:p w14:paraId="75232131"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Primary stakeholders include undiagnosed primary school students, guardians, educators, school counselors, under resourced academic institutions, educational psychologists, assessment centers, and non governmental organizations focused on inclusive education.</w:t>
      </w:r>
    </w:p>
    <w:p w14:paraId="5FBD3C20" w14:textId="77777777" w:rsidR="009C1E89" w:rsidRPr="006A7073" w:rsidRDefault="00000000" w:rsidP="006A7073">
      <w:pPr>
        <w:spacing w:before="320" w:after="160" w:line="240" w:lineRule="auto"/>
        <w:jc w:val="center"/>
        <w:rPr>
          <w:rFonts w:ascii="Times New Roman" w:hAnsi="Times New Roman" w:cs="Times New Roman"/>
          <w:color w:val="auto"/>
          <w:szCs w:val="24"/>
        </w:rPr>
      </w:pPr>
      <w:r w:rsidRPr="006A7073">
        <w:rPr>
          <w:rFonts w:ascii="Times New Roman" w:hAnsi="Times New Roman" w:cs="Times New Roman"/>
          <w:b/>
          <w:color w:val="auto"/>
          <w:szCs w:val="24"/>
        </w:rPr>
        <w:t>Step 2: Data Understanding</w:t>
      </w:r>
    </w:p>
    <w:p w14:paraId="79B8840B"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2.1 Data Sources</w:t>
      </w:r>
    </w:p>
    <w:p w14:paraId="36AE93D5"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The model utilizes a dual source data collection strategy to ensure cross cultural validity and local domain relevance:</w:t>
      </w:r>
    </w:p>
    <w:p w14:paraId="626A1357"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Malaysian Dyslexia Association (PDM) Dataset: </w:t>
      </w:r>
      <w:r w:rsidRPr="006A7073">
        <w:rPr>
          <w:rFonts w:ascii="Times New Roman" w:hAnsi="Times New Roman" w:cs="Times New Roman"/>
          <w:color w:val="auto"/>
          <w:szCs w:val="24"/>
        </w:rPr>
        <w:t>The baseline public benchmark dataset collected from primary school students by the Malaysian Dyslexia Association (PDM), with each sample clinically assessed and categorized into Potential Dysgraphia (PD) and Low Potential Dysgraphia (LPD).</w:t>
      </w:r>
    </w:p>
    <w:p w14:paraId="1A74DCF4"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Rare Gem Talent School (Kitengela, Kenya) Primary Dataset: </w:t>
      </w:r>
      <w:r w:rsidRPr="006A7073">
        <w:rPr>
          <w:rFonts w:ascii="Times New Roman" w:hAnsi="Times New Roman" w:cs="Times New Roman"/>
          <w:color w:val="auto"/>
          <w:szCs w:val="24"/>
        </w:rPr>
        <w:t>To adapt the pipeline to the local context and expand sample diversity, the project team conducted primary physical data collection at Rare Gem Talent School, a special education school located in Kitengela, Kenya. Handwriting samples were physically digitized, preprocessed, and annotated in collaboration with school educators.</w:t>
      </w:r>
    </w:p>
    <w:p w14:paraId="104D4925"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2.2 Data Characteristics</w:t>
      </w:r>
    </w:p>
    <w:p w14:paraId="7FFBD55F"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Format &amp; Structure: </w:t>
      </w:r>
      <w:r w:rsidRPr="006A7073">
        <w:rPr>
          <w:rFonts w:ascii="Times New Roman" w:hAnsi="Times New Roman" w:cs="Times New Roman"/>
          <w:color w:val="auto"/>
          <w:szCs w:val="24"/>
        </w:rPr>
        <w:t>Pre binarized full passage handwriting images (white handwriting on black background) saved in JPG format.</w:t>
      </w:r>
    </w:p>
    <w:p w14:paraId="7B35A1E8"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Dimensionality: </w:t>
      </w:r>
      <w:r w:rsidRPr="006A7073">
        <w:rPr>
          <w:rFonts w:ascii="Times New Roman" w:hAnsi="Times New Roman" w:cs="Times New Roman"/>
          <w:color w:val="auto"/>
          <w:szCs w:val="24"/>
        </w:rPr>
        <w:t>Dimensions vary across samples, ranging from 506 x 55 pixels up to 1,318 x 365 pixels, requiring proportional aspect ratio preserving transformations.</w:t>
      </w:r>
    </w:p>
    <w:p w14:paraId="53913FFC"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Language Universality: </w:t>
      </w:r>
      <w:r w:rsidRPr="006A7073">
        <w:rPr>
          <w:rFonts w:ascii="Times New Roman" w:hAnsi="Times New Roman" w:cs="Times New Roman"/>
          <w:color w:val="auto"/>
          <w:szCs w:val="24"/>
        </w:rPr>
        <w:t>Although the PDM benchmark samples contain text written in Malay and local samples contain English/Kiswahili, motor and visual dysgraphia traits transcend specific languages. The neural network evaluates stroke formation, spatial distribution, pressure variance, and alignment geometry, which remain consistent across Latin script languages.</w:t>
      </w:r>
    </w:p>
    <w:p w14:paraId="06508662" w14:textId="3D03168A"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Sample Scale &amp; Expansion: </w:t>
      </w:r>
      <w:r w:rsidR="00DA4294" w:rsidRPr="00DA4294">
        <w:rPr>
          <w:rFonts w:ascii="Times New Roman" w:hAnsi="Times New Roman" w:cs="Times New Roman"/>
          <w:color w:val="auto"/>
          <w:szCs w:val="24"/>
        </w:rPr>
        <w:t>The combined dataset totals 1,625 images, bringing together the Malaysian Dyslexia Association (PDM) benchmark dataset and primary physical handwriting data collected from Rare Gem Talent School in Kitengela, Kenya (1,049 Potential Dysgraphia items and 576 Low Potential Dysgraphia items)</w:t>
      </w:r>
      <w:r w:rsidRPr="006A7073">
        <w:rPr>
          <w:rFonts w:ascii="Times New Roman" w:hAnsi="Times New Roman" w:cs="Times New Roman"/>
          <w:color w:val="auto"/>
          <w:szCs w:val="24"/>
        </w:rPr>
        <w:t>.</w:t>
      </w:r>
    </w:p>
    <w:p w14:paraId="5A401D4A"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2.3 Data Quality Audit Procedures</w:t>
      </w:r>
    </w:p>
    <w:p w14:paraId="68B088DB"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lastRenderedPageBreak/>
        <w:t>The data validation protocol includes:</w:t>
      </w:r>
    </w:p>
    <w:p w14:paraId="577F25C1"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color w:val="auto"/>
          <w:szCs w:val="24"/>
        </w:rPr>
        <w:t>Class inventory tracking to establish baseline balance ratios across both cohorts.</w:t>
      </w:r>
    </w:p>
    <w:p w14:paraId="43D8420B" w14:textId="07929E65"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color w:val="auto"/>
          <w:szCs w:val="24"/>
        </w:rPr>
        <w:t>Automated file integrity verification via try</w:t>
      </w:r>
      <w:r w:rsidR="00A94F78">
        <w:rPr>
          <w:rFonts w:ascii="Times New Roman" w:hAnsi="Times New Roman" w:cs="Times New Roman"/>
          <w:color w:val="auto"/>
          <w:szCs w:val="24"/>
        </w:rPr>
        <w:t>-</w:t>
      </w:r>
      <w:r w:rsidRPr="006A7073">
        <w:rPr>
          <w:rFonts w:ascii="Times New Roman" w:hAnsi="Times New Roman" w:cs="Times New Roman"/>
          <w:color w:val="auto"/>
          <w:szCs w:val="24"/>
        </w:rPr>
        <w:t>except execution blocks to quarantine corrupted images.</w:t>
      </w:r>
    </w:p>
    <w:p w14:paraId="5A6A6D2C"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color w:val="auto"/>
          <w:szCs w:val="24"/>
        </w:rPr>
        <w:t>Dimensionality logging to capture width, height, and aspect ratio distributions.</w:t>
      </w:r>
    </w:p>
    <w:p w14:paraId="3FEB0E45"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color w:val="auto"/>
          <w:szCs w:val="24"/>
        </w:rPr>
        <w:t>Visual grid inspection to confirm alignment between directory labels and visible stroke traits.</w:t>
      </w:r>
    </w:p>
    <w:p w14:paraId="378F4C60"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color w:val="auto"/>
          <w:szCs w:val="24"/>
        </w:rPr>
        <w:t>Pixel intensity distribution checks to verify binarization consistency.</w:t>
      </w:r>
    </w:p>
    <w:p w14:paraId="0F71DA84"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color w:val="auto"/>
          <w:szCs w:val="24"/>
        </w:rPr>
        <w:t>Exploratory Data Analysis (EDA) visualizations: class balance bar charts, dimensional distribution plots, sample grids, aspect ratio histograms, and intensity distributions.</w:t>
      </w:r>
    </w:p>
    <w:p w14:paraId="1DD8B30D" w14:textId="77777777" w:rsidR="009C1E89" w:rsidRPr="006A7073" w:rsidRDefault="00000000" w:rsidP="006A7073">
      <w:pPr>
        <w:spacing w:before="320" w:after="160" w:line="240" w:lineRule="auto"/>
        <w:jc w:val="center"/>
        <w:rPr>
          <w:rFonts w:ascii="Times New Roman" w:hAnsi="Times New Roman" w:cs="Times New Roman"/>
          <w:color w:val="auto"/>
          <w:szCs w:val="24"/>
        </w:rPr>
      </w:pPr>
      <w:r w:rsidRPr="006A7073">
        <w:rPr>
          <w:rFonts w:ascii="Times New Roman" w:hAnsi="Times New Roman" w:cs="Times New Roman"/>
          <w:b/>
          <w:color w:val="auto"/>
          <w:szCs w:val="24"/>
        </w:rPr>
        <w:t>Step 3: Data Preparation</w:t>
      </w:r>
    </w:p>
    <w:p w14:paraId="1D59BCF0"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3.1 Preprocessing &amp; Normalization Pipeline</w:t>
      </w:r>
    </w:p>
    <w:p w14:paraId="16B1F40B"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Directory Data Ingestion: </w:t>
      </w:r>
      <w:r w:rsidRPr="006A7073">
        <w:rPr>
          <w:rFonts w:ascii="Times New Roman" w:hAnsi="Times New Roman" w:cs="Times New Roman"/>
          <w:color w:val="auto"/>
          <w:szCs w:val="24"/>
        </w:rPr>
        <w:t>Ingest raw image directories from both PDM and Rare Gem Talent School collections via standard data pipelines using fixed random seeds for experiment reproducibility.</w:t>
      </w:r>
    </w:p>
    <w:p w14:paraId="43EC0DF5"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Grayscale Transformation &amp; Normalization: </w:t>
      </w:r>
      <w:r w:rsidRPr="006A7073">
        <w:rPr>
          <w:rFonts w:ascii="Times New Roman" w:hAnsi="Times New Roman" w:cs="Times New Roman"/>
          <w:color w:val="auto"/>
          <w:szCs w:val="24"/>
        </w:rPr>
        <w:t>Convert all inputs to single channel grayscale matrices and scale pixel values to a normalized [0.0, 1.0] float32 range.</w:t>
      </w:r>
    </w:p>
    <w:p w14:paraId="51E0402D" w14:textId="36A5BBB0"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Aspect Preserving Standard Canvas: </w:t>
      </w:r>
      <w:r w:rsidR="00DA4294" w:rsidRPr="00DA4294">
        <w:rPr>
          <w:rFonts w:ascii="Times New Roman" w:hAnsi="Times New Roman" w:cs="Times New Roman"/>
          <w:color w:val="auto"/>
          <w:szCs w:val="24"/>
        </w:rPr>
        <w:t>Resize images to a standard 256 x 256 resolution using aspect-ratio preserving padding to prevent structural distortion of letter strokes</w:t>
      </w:r>
      <w:r w:rsidRPr="006A7073">
        <w:rPr>
          <w:rFonts w:ascii="Times New Roman" w:hAnsi="Times New Roman" w:cs="Times New Roman"/>
          <w:color w:val="auto"/>
          <w:szCs w:val="24"/>
        </w:rPr>
        <w:t>.</w:t>
      </w:r>
    </w:p>
    <w:p w14:paraId="230AE5D3" w14:textId="0B3FBAEC"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Stratified Partitioning: </w:t>
      </w:r>
      <w:r w:rsidR="00DA4294" w:rsidRPr="00DA4294">
        <w:rPr>
          <w:rFonts w:ascii="Times New Roman" w:hAnsi="Times New Roman" w:cs="Times New Roman"/>
          <w:color w:val="auto"/>
          <w:szCs w:val="24"/>
        </w:rPr>
        <w:t>Partition the combined dataset of 1,625 images using a stratified 60% Training / 20% Validation / 20% Test split (975 training, 325 validation, and 325 test images) to preserve class proportions across subsets</w:t>
      </w:r>
      <w:r w:rsidRPr="006A7073">
        <w:rPr>
          <w:rFonts w:ascii="Times New Roman" w:hAnsi="Times New Roman" w:cs="Times New Roman"/>
          <w:color w:val="auto"/>
          <w:szCs w:val="24"/>
        </w:rPr>
        <w:t>.</w:t>
      </w:r>
    </w:p>
    <w:p w14:paraId="741FA392"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3.2 Augmentation &amp; Class Imbalance Handling</w:t>
      </w:r>
    </w:p>
    <w:p w14:paraId="7CD302A9"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Dynamic Data Augmentation: </w:t>
      </w:r>
      <w:r w:rsidRPr="006A7073">
        <w:rPr>
          <w:rFonts w:ascii="Times New Roman" w:hAnsi="Times New Roman" w:cs="Times New Roman"/>
          <w:color w:val="auto"/>
          <w:szCs w:val="24"/>
        </w:rPr>
        <w:t>Apply spatial transformations (rotation within +/-10 degrees, horizontal and vertical translation, scaling shifts, and minor shearing) strictly to training data to simulate capture variations.</w:t>
      </w:r>
    </w:p>
    <w:p w14:paraId="4619F984"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Imbalance Mitigation: </w:t>
      </w:r>
      <w:r w:rsidRPr="006A7073">
        <w:rPr>
          <w:rFonts w:ascii="Times New Roman" w:hAnsi="Times New Roman" w:cs="Times New Roman"/>
          <w:color w:val="auto"/>
          <w:szCs w:val="24"/>
        </w:rPr>
        <w:t>Calculate class weights from inventory audits to penalize minority class misclassification during training, supplementing with targeted augmentation for underrepresented classes.</w:t>
      </w:r>
    </w:p>
    <w:p w14:paraId="6D861AFC"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Deliverables: </w:t>
      </w:r>
      <w:r w:rsidRPr="006A7073">
        <w:rPr>
          <w:rFonts w:ascii="Times New Roman" w:hAnsi="Times New Roman" w:cs="Times New Roman"/>
          <w:color w:val="auto"/>
          <w:szCs w:val="24"/>
        </w:rPr>
        <w:t>Reproducible preprocessing pipeline scripts accompanied by comprehensive dataset audit reports.</w:t>
      </w:r>
    </w:p>
    <w:p w14:paraId="4CC6342D" w14:textId="77777777" w:rsidR="009C1E89" w:rsidRPr="006A7073" w:rsidRDefault="00000000" w:rsidP="006A7073">
      <w:pPr>
        <w:spacing w:before="320" w:after="160" w:line="240" w:lineRule="auto"/>
        <w:jc w:val="center"/>
        <w:rPr>
          <w:rFonts w:ascii="Times New Roman" w:hAnsi="Times New Roman" w:cs="Times New Roman"/>
          <w:color w:val="auto"/>
          <w:szCs w:val="24"/>
        </w:rPr>
      </w:pPr>
      <w:r w:rsidRPr="006A7073">
        <w:rPr>
          <w:rFonts w:ascii="Times New Roman" w:hAnsi="Times New Roman" w:cs="Times New Roman"/>
          <w:b/>
          <w:color w:val="auto"/>
          <w:szCs w:val="24"/>
        </w:rPr>
        <w:t>Step 4: Modeling</w:t>
      </w:r>
    </w:p>
    <w:p w14:paraId="6ACC7B49"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4.1 Architecture Strategy</w:t>
      </w:r>
    </w:p>
    <w:p w14:paraId="41A290A9" w14:textId="03386A3A"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Custom Baseline CNN: </w:t>
      </w:r>
      <w:r w:rsidR="002772D2" w:rsidRPr="002772D2">
        <w:rPr>
          <w:rFonts w:ascii="Times New Roman" w:hAnsi="Times New Roman" w:cs="Times New Roman"/>
          <w:color w:val="auto"/>
          <w:szCs w:val="24"/>
        </w:rPr>
        <w:t>A bespoke 3-block Convolutional Neural Network with Global Average Pooling leading to a 32-unit dense layer, designed to establish baseline performance floors</w:t>
      </w:r>
      <w:r w:rsidRPr="006A7073">
        <w:rPr>
          <w:rFonts w:ascii="Times New Roman" w:hAnsi="Times New Roman" w:cs="Times New Roman"/>
          <w:color w:val="auto"/>
          <w:szCs w:val="24"/>
        </w:rPr>
        <w:t>.</w:t>
      </w:r>
    </w:p>
    <w:p w14:paraId="14948807" w14:textId="6693CC78"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Primary Transfer Learning Backbone: </w:t>
      </w:r>
      <w:r w:rsidR="002772D2" w:rsidRPr="002772D2">
        <w:rPr>
          <w:rFonts w:ascii="Times New Roman" w:hAnsi="Times New Roman" w:cs="Times New Roman"/>
          <w:color w:val="auto"/>
          <w:szCs w:val="24"/>
        </w:rPr>
        <w:t>A pre-trained ImageNet MobileNetV2 architecture with grayscale inputs mapped to three channels. The classification head features Global Average Pooling, a 128-unit Dense layer (ReLU activation), a 0.5 Dropout rate, and a single Sigmoid output neuron. Unfreezing top backbone layers allows domain-specific fine-tuning</w:t>
      </w:r>
      <w:r w:rsidRPr="006A7073">
        <w:rPr>
          <w:rFonts w:ascii="Times New Roman" w:hAnsi="Times New Roman" w:cs="Times New Roman"/>
          <w:color w:val="auto"/>
          <w:szCs w:val="24"/>
        </w:rPr>
        <w:t>.</w:t>
      </w:r>
    </w:p>
    <w:p w14:paraId="213325D9"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lastRenderedPageBreak/>
        <w:t>4.2 Training Configuration &amp; Callbacks</w:t>
      </w:r>
    </w:p>
    <w:p w14:paraId="423FBD3D" w14:textId="40CDB34A" w:rsidR="009C1E89" w:rsidRPr="006A7073" w:rsidRDefault="002772D2" w:rsidP="006A7073">
      <w:pPr>
        <w:spacing w:after="120" w:line="240" w:lineRule="auto"/>
        <w:rPr>
          <w:rFonts w:ascii="Times New Roman" w:hAnsi="Times New Roman" w:cs="Times New Roman"/>
          <w:color w:val="auto"/>
          <w:szCs w:val="24"/>
        </w:rPr>
      </w:pPr>
      <w:r w:rsidRPr="002772D2">
        <w:rPr>
          <w:rFonts w:ascii="Times New Roman" w:hAnsi="Times New Roman" w:cs="Times New Roman"/>
          <w:color w:val="auto"/>
          <w:szCs w:val="24"/>
        </w:rPr>
        <w:t>Models are compiled using Binary Cross Entropy loss weighted by class proportions and optimized via Adam (initial learning rate = 1e-3). Training callbacks include EarlyStopping (patience of 8 epochs), ReduceLROnPlateau learning rate decay, and ModelCheckpoint saving top validation F1 score weights</w:t>
      </w:r>
      <w:r w:rsidR="00000000" w:rsidRPr="006A7073">
        <w:rPr>
          <w:rFonts w:ascii="Times New Roman" w:hAnsi="Times New Roman" w:cs="Times New Roman"/>
          <w:color w:val="auto"/>
          <w:szCs w:val="24"/>
        </w:rPr>
        <w:t>.</w:t>
      </w:r>
    </w:p>
    <w:p w14:paraId="224BAAF9"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4.3 Model Interpretability &amp; Deliverables</w:t>
      </w:r>
    </w:p>
    <w:p w14:paraId="4BEAD5D1"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Grad-CAM heatmaps verify that network activations focus on letter shape, spatial distribution, and baseline alignment rather than superficial background noise. Deliverables include serialized model artifacts (.keras files), training logs, and performance comparison tables.</w:t>
      </w:r>
    </w:p>
    <w:p w14:paraId="0B199815" w14:textId="77777777" w:rsidR="009C1E89" w:rsidRPr="006A7073" w:rsidRDefault="00000000" w:rsidP="006A7073">
      <w:pPr>
        <w:spacing w:before="320" w:after="160" w:line="240" w:lineRule="auto"/>
        <w:jc w:val="center"/>
        <w:rPr>
          <w:rFonts w:ascii="Times New Roman" w:hAnsi="Times New Roman" w:cs="Times New Roman"/>
          <w:color w:val="auto"/>
          <w:szCs w:val="24"/>
        </w:rPr>
      </w:pPr>
      <w:r w:rsidRPr="006A7073">
        <w:rPr>
          <w:rFonts w:ascii="Times New Roman" w:hAnsi="Times New Roman" w:cs="Times New Roman"/>
          <w:b/>
          <w:color w:val="auto"/>
          <w:szCs w:val="24"/>
        </w:rPr>
        <w:t>Step 5: Evaluation &amp; Model Verification</w:t>
      </w:r>
    </w:p>
    <w:p w14:paraId="6FEC1958"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5.1 Evaluation Methodology</w:t>
      </w:r>
    </w:p>
    <w:p w14:paraId="4F953C41" w14:textId="417C8000"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Modeling evaluates technical feasibility, whereas evaluation determines operational reliability. All performance metrics are calculated using a strictly quarantined test set accessed only upon final model selection. Evaluation tools are modularized into standard reusable scripts and execution notebooks.</w:t>
      </w:r>
    </w:p>
    <w:p w14:paraId="2B356A0C"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5.2 Recall First Metric Philosophy</w:t>
      </w:r>
    </w:p>
    <w:p w14:paraId="3B321F6F"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In early screening, a false negative (missing an at-risk child) represents a critical failure, whereas a false positive incurs minor administrative verification. Consequently, models are prioritized based on Potential Dysgraphia recall, alongside ROC AUC and PR AUC evaluation. Overall accuracy is explicitly rejected as a primary evaluation metric on imbalanced datasets.</w:t>
      </w:r>
    </w:p>
    <w:p w14:paraId="0CECAD55"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5.3 Iteration Analysis &amp; Initial Findings</w:t>
      </w:r>
    </w:p>
    <w:p w14:paraId="6EC25EB5" w14:textId="353771C2" w:rsidR="009C1E89" w:rsidRPr="006A7073" w:rsidRDefault="002772D2" w:rsidP="006A7073">
      <w:pPr>
        <w:spacing w:after="120" w:line="240" w:lineRule="auto"/>
        <w:rPr>
          <w:rFonts w:ascii="Times New Roman" w:hAnsi="Times New Roman" w:cs="Times New Roman"/>
          <w:color w:val="auto"/>
          <w:szCs w:val="24"/>
        </w:rPr>
      </w:pPr>
      <w:r w:rsidRPr="002772D2">
        <w:rPr>
          <w:rFonts w:ascii="Times New Roman" w:hAnsi="Times New Roman" w:cs="Times New Roman"/>
          <w:color w:val="auto"/>
          <w:szCs w:val="24"/>
        </w:rPr>
        <w:t>Initial custom baseline CNN evaluation over 15 epochs on the combined dataset (1,625 total images) showed limited predictive capacity, reaching a validation ROC-AUC of ~0.553 and a validation recall of ~0.119. Threshold sweeps (0.30 to 0.70) confirmed underlying feature extraction limitations of the basic CNN structure rather than simple cutoff misalignment. Grad-CAM visual overlays showed unfocused activation patterns on raw strokes. These findings confirmed the necessity of leveraging pre-trained transfer learning architectures (MobileNetV2) and domain-specific fine-tuning for the v2 iteration</w:t>
      </w:r>
      <w:r w:rsidR="00000000" w:rsidRPr="006A7073">
        <w:rPr>
          <w:rFonts w:ascii="Times New Roman" w:hAnsi="Times New Roman" w:cs="Times New Roman"/>
          <w:color w:val="auto"/>
          <w:szCs w:val="24"/>
        </w:rPr>
        <w:t>.</w:t>
      </w:r>
    </w:p>
    <w:p w14:paraId="31B834E0"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5.4 Threshold Calibration via Youden's J Statistic</w:t>
      </w:r>
    </w:p>
    <w:p w14:paraId="02D1373E"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Optimizing strictly for recall caused model predictions to default positive across ~99% of samples. To establish a balanced decision threshold, Youden's J statistic (J = True Positive Rate - False Positive Rate) was computed on the validation split, yielding an optimal operating threshold of 0.549.</w:t>
      </w:r>
    </w:p>
    <w:p w14:paraId="2F40EC0A"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5.5 Final Held-Out Evaluation Results</w:t>
      </w:r>
    </w:p>
    <w:p w14:paraId="68ABFD0C"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 xml:space="preserve">The fine tuned MobileNetV2 architecture evaluated on the 20% quarantined test split achieved an ROC AUC of 0.797 (PR AUC of 0.86), a Potential Dysgraphia recall of 79% at 84% precision, and a healthy sample recall of 73%. The system successfully identifies approximately </w:t>
      </w:r>
      <w:r w:rsidRPr="006A7073">
        <w:rPr>
          <w:rFonts w:ascii="Times New Roman" w:hAnsi="Times New Roman" w:cs="Times New Roman"/>
          <w:color w:val="auto"/>
          <w:szCs w:val="24"/>
        </w:rPr>
        <w:lastRenderedPageBreak/>
        <w:t>4 out of 5 at-risk samples while correctly clearing nearly 3 out of 4 healthy samples, functioning effectively as a first pass screening tool.</w:t>
      </w:r>
    </w:p>
    <w:p w14:paraId="291795CB"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5.6 Interpretability &amp; Operational Limitations</w:t>
      </w:r>
    </w:p>
    <w:p w14:paraId="08DA5DD2"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Grad-CAM Interpretability: </w:t>
      </w:r>
      <w:r w:rsidRPr="006A7073">
        <w:rPr>
          <w:rFonts w:ascii="Times New Roman" w:hAnsi="Times New Roman" w:cs="Times New Roman"/>
          <w:color w:val="auto"/>
          <w:szCs w:val="24"/>
        </w:rPr>
        <w:t>Applies class activation mappings directly to final convolutional layers to generate heatmaps, confirming model focus on relevant handwriting strokes.</w:t>
      </w:r>
    </w:p>
    <w:p w14:paraId="3C4E094C"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Operational Limitations: </w:t>
      </w:r>
      <w:r w:rsidRPr="006A7073">
        <w:rPr>
          <w:rFonts w:ascii="Times New Roman" w:hAnsi="Times New Roman" w:cs="Times New Roman"/>
          <w:color w:val="auto"/>
          <w:szCs w:val="24"/>
        </w:rPr>
        <w:t>Future iterations require strict student level split auditing to prevent data leakage, separate reporting across geographic sample origins (Malaysian PDM vs. Kenyan Rare Gem cohorts), version controlled configuration manifests, and self contained export layers for deployment compatibility.</w:t>
      </w:r>
    </w:p>
    <w:p w14:paraId="18C77171" w14:textId="77777777" w:rsidR="009C1E89" w:rsidRPr="006A7073" w:rsidRDefault="00000000" w:rsidP="006A7073">
      <w:pPr>
        <w:spacing w:before="320" w:after="160" w:line="240" w:lineRule="auto"/>
        <w:jc w:val="center"/>
        <w:rPr>
          <w:rFonts w:ascii="Times New Roman" w:hAnsi="Times New Roman" w:cs="Times New Roman"/>
          <w:color w:val="auto"/>
          <w:szCs w:val="24"/>
        </w:rPr>
      </w:pPr>
      <w:r w:rsidRPr="006A7073">
        <w:rPr>
          <w:rFonts w:ascii="Times New Roman" w:hAnsi="Times New Roman" w:cs="Times New Roman"/>
          <w:b/>
          <w:color w:val="auto"/>
          <w:szCs w:val="24"/>
        </w:rPr>
        <w:t>Step 6: Deployment &amp; WriteAble System Architecture</w:t>
      </w:r>
    </w:p>
    <w:p w14:paraId="3657C4CF"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6.1 System Architecture Overview</w:t>
      </w:r>
    </w:p>
    <w:p w14:paraId="6025FAFC"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The WriteAble screening platform is deployed as a multi tier system consisting of:</w:t>
      </w:r>
    </w:p>
    <w:p w14:paraId="2C1A81D2"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Frontend Application Layer: </w:t>
      </w:r>
      <w:r w:rsidRPr="006A7073">
        <w:rPr>
          <w:rFonts w:ascii="Times New Roman" w:hAnsi="Times New Roman" w:cs="Times New Roman"/>
          <w:color w:val="auto"/>
          <w:szCs w:val="24"/>
        </w:rPr>
        <w:t>User and administrative portal interfaces.</w:t>
      </w:r>
    </w:p>
    <w:p w14:paraId="0FF31AD3"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Application Backend Layer: </w:t>
      </w:r>
      <w:r w:rsidRPr="006A7073">
        <w:rPr>
          <w:rFonts w:ascii="Times New Roman" w:hAnsi="Times New Roman" w:cs="Times New Roman"/>
          <w:color w:val="auto"/>
          <w:szCs w:val="24"/>
        </w:rPr>
        <w:t>Node.js and Express API running on port 5001, managing authentication, access permissions, screening session data, reporting workflows, and MySQL database communication.</w:t>
      </w:r>
    </w:p>
    <w:p w14:paraId="7C58D9B4" w14:textId="77777777" w:rsidR="009C1E89" w:rsidRPr="006A7073" w:rsidRDefault="00000000" w:rsidP="006A7073">
      <w:pPr>
        <w:pStyle w:val="ListBullet"/>
        <w:spacing w:after="80" w:line="240" w:lineRule="auto"/>
        <w:rPr>
          <w:rFonts w:ascii="Times New Roman" w:hAnsi="Times New Roman" w:cs="Times New Roman"/>
          <w:color w:val="auto"/>
          <w:szCs w:val="24"/>
        </w:rPr>
      </w:pPr>
      <w:r w:rsidRPr="006A7073">
        <w:rPr>
          <w:rFonts w:ascii="Times New Roman" w:hAnsi="Times New Roman" w:cs="Times New Roman"/>
          <w:b/>
          <w:color w:val="auto"/>
          <w:szCs w:val="24"/>
        </w:rPr>
        <w:t xml:space="preserve">Machine Learning Microservice: </w:t>
      </w:r>
      <w:r w:rsidRPr="006A7073">
        <w:rPr>
          <w:rFonts w:ascii="Times New Roman" w:hAnsi="Times New Roman" w:cs="Times New Roman"/>
          <w:color w:val="auto"/>
          <w:szCs w:val="24"/>
        </w:rPr>
        <w:t>Python and FastAPI service running on port 8000, executing model inference on handwriting inputs.</w:t>
      </w:r>
    </w:p>
    <w:p w14:paraId="77A4D269"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6.2 Security, Roles &amp; Session Management</w:t>
      </w:r>
    </w:p>
    <w:p w14:paraId="09290873"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Authentication utilizes JSON Web Tokens (JWT) with role based access control spanning Superadmin, Admin, Clinician, Researcher, and Educator permissions. Screening participants are maintained independently from administrative user accounts, ensuring secure access to assessment records without creating individual accounts for children.</w:t>
      </w:r>
    </w:p>
    <w:p w14:paraId="0635D276"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6.3 End-to-End Screening &amp; Reporting Pipeline</w:t>
      </w:r>
    </w:p>
    <w:p w14:paraId="59D7B290"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Participants complete handwriting tasks within the user interface. Submissions are stored and associated with unique screening sessions, which are subsequently processed by the ML microservice. The backend compiles participant metadata, handwriting scans, model predictions, version tracking, probability scores, visual interpretations, and recommendations into an authenticated screening report. Reports highlight overall screening indicators, analyzed task evidence, model versioning, and status indicators. Protected handwriting images are retrieved securely within report interfaces rather than exposed via public file URLs.</w:t>
      </w:r>
    </w:p>
    <w:p w14:paraId="42EA12E8" w14:textId="77777777" w:rsidR="009C1E89" w:rsidRPr="006A7073" w:rsidRDefault="00000000" w:rsidP="006A7073">
      <w:pPr>
        <w:spacing w:before="240" w:after="120" w:line="240" w:lineRule="auto"/>
        <w:rPr>
          <w:rFonts w:ascii="Times New Roman" w:hAnsi="Times New Roman" w:cs="Times New Roman"/>
          <w:color w:val="auto"/>
          <w:szCs w:val="24"/>
        </w:rPr>
      </w:pPr>
      <w:r w:rsidRPr="006A7073">
        <w:rPr>
          <w:rFonts w:ascii="Times New Roman" w:hAnsi="Times New Roman" w:cs="Times New Roman"/>
          <w:b/>
          <w:color w:val="auto"/>
          <w:szCs w:val="24"/>
        </w:rPr>
        <w:t>6.4 Production Infrastructure &amp; Operational Hardening</w:t>
      </w:r>
    </w:p>
    <w:p w14:paraId="28E42AE5" w14:textId="77777777" w:rsidR="009C1E89" w:rsidRPr="006A7073" w:rsidRDefault="00000000" w:rsidP="006A7073">
      <w:pPr>
        <w:spacing w:after="120" w:line="240" w:lineRule="auto"/>
        <w:rPr>
          <w:rFonts w:ascii="Times New Roman" w:hAnsi="Times New Roman" w:cs="Times New Roman"/>
          <w:color w:val="auto"/>
          <w:szCs w:val="24"/>
        </w:rPr>
      </w:pPr>
      <w:r w:rsidRPr="006A7073">
        <w:rPr>
          <w:rFonts w:ascii="Times New Roman" w:hAnsi="Times New Roman" w:cs="Times New Roman"/>
          <w:color w:val="auto"/>
          <w:szCs w:val="24"/>
        </w:rPr>
        <w:t xml:space="preserve">Production deployment isolates microservices behind HTTPS proxies using environment variable management for database credentials, JWT secrets, and service endpoints. Security measures include HTTPS encryption, restricted CORS policies, secure token handling, database access controls, rate limiting, upload validation, and credential rotation. Operational monitoring </w:t>
      </w:r>
      <w:r w:rsidRPr="006A7073">
        <w:rPr>
          <w:rFonts w:ascii="Times New Roman" w:hAnsi="Times New Roman" w:cs="Times New Roman"/>
          <w:color w:val="auto"/>
          <w:szCs w:val="24"/>
        </w:rPr>
        <w:lastRenderedPageBreak/>
        <w:t>incorporates regular database backups, application logging, microservice health checks, restricted participant data access, and full pipeline testing prior to public deployment.</w:t>
      </w:r>
    </w:p>
    <w:sectPr w:rsidR="009C1E89" w:rsidRPr="006A7073"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C86D2" w14:textId="77777777" w:rsidR="005F22BE" w:rsidRDefault="005F22BE" w:rsidP="006A7073">
      <w:pPr>
        <w:spacing w:after="0" w:line="240" w:lineRule="auto"/>
      </w:pPr>
      <w:r>
        <w:separator/>
      </w:r>
    </w:p>
  </w:endnote>
  <w:endnote w:type="continuationSeparator" w:id="0">
    <w:p w14:paraId="0C8C9A39" w14:textId="77777777" w:rsidR="005F22BE" w:rsidRDefault="005F22BE" w:rsidP="006A7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A47E9" w14:textId="77777777" w:rsidR="005F22BE" w:rsidRDefault="005F22BE" w:rsidP="006A7073">
      <w:pPr>
        <w:spacing w:after="0" w:line="240" w:lineRule="auto"/>
      </w:pPr>
      <w:r>
        <w:separator/>
      </w:r>
    </w:p>
  </w:footnote>
  <w:footnote w:type="continuationSeparator" w:id="0">
    <w:p w14:paraId="20BE38B0" w14:textId="77777777" w:rsidR="005F22BE" w:rsidRDefault="005F22BE" w:rsidP="006A7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A5E6FD6"/>
    <w:lvl w:ilvl="0">
      <w:start w:val="1"/>
      <w:numFmt w:val="bullet"/>
      <w:pStyle w:val="ListBullet"/>
      <w:lvlText w:val=""/>
      <w:lvlJc w:val="left"/>
      <w:pPr>
        <w:tabs>
          <w:tab w:val="num" w:pos="360"/>
        </w:tabs>
        <w:ind w:left="360" w:hanging="360"/>
      </w:pPr>
      <w:rPr>
        <w:rFonts w:ascii="Symbol" w:hAnsi="Symbol" w:hint="default"/>
      </w:rPr>
    </w:lvl>
  </w:abstractNum>
  <w:num w:numId="1" w16cid:durableId="86119228">
    <w:abstractNumId w:val="8"/>
  </w:num>
  <w:num w:numId="2" w16cid:durableId="2057120496">
    <w:abstractNumId w:val="6"/>
  </w:num>
  <w:num w:numId="3" w16cid:durableId="1363017769">
    <w:abstractNumId w:val="5"/>
  </w:num>
  <w:num w:numId="4" w16cid:durableId="936135275">
    <w:abstractNumId w:val="4"/>
  </w:num>
  <w:num w:numId="5" w16cid:durableId="667755687">
    <w:abstractNumId w:val="7"/>
  </w:num>
  <w:num w:numId="6" w16cid:durableId="561520057">
    <w:abstractNumId w:val="3"/>
  </w:num>
  <w:num w:numId="7" w16cid:durableId="1182621127">
    <w:abstractNumId w:val="2"/>
  </w:num>
  <w:num w:numId="8" w16cid:durableId="1431852599">
    <w:abstractNumId w:val="1"/>
  </w:num>
  <w:num w:numId="9" w16cid:durableId="2060205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F1E"/>
    <w:rsid w:val="0015074B"/>
    <w:rsid w:val="002772D2"/>
    <w:rsid w:val="0029639D"/>
    <w:rsid w:val="00326F90"/>
    <w:rsid w:val="003D18A1"/>
    <w:rsid w:val="005F22BE"/>
    <w:rsid w:val="00600150"/>
    <w:rsid w:val="006A7073"/>
    <w:rsid w:val="00995D05"/>
    <w:rsid w:val="009C1E89"/>
    <w:rsid w:val="00A94F78"/>
    <w:rsid w:val="00AA1D8D"/>
    <w:rsid w:val="00B47730"/>
    <w:rsid w:val="00CB0664"/>
    <w:rsid w:val="00DA4294"/>
    <w:rsid w:val="00E631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ED3B5"/>
  <w14:defaultImageDpi w14:val="300"/>
  <w15:docId w15:val="{762DE99D-A34F-46B3-B45C-312396F24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706578">
      <w:bodyDiv w:val="1"/>
      <w:marLeft w:val="0"/>
      <w:marRight w:val="0"/>
      <w:marTop w:val="0"/>
      <w:marBottom w:val="0"/>
      <w:divBdr>
        <w:top w:val="none" w:sz="0" w:space="0" w:color="auto"/>
        <w:left w:val="none" w:sz="0" w:space="0" w:color="auto"/>
        <w:bottom w:val="none" w:sz="0" w:space="0" w:color="auto"/>
        <w:right w:val="none" w:sz="0" w:space="0" w:color="auto"/>
      </w:divBdr>
    </w:div>
    <w:div w:id="16650087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samson shieunda</cp:lastModifiedBy>
  <cp:revision>7</cp:revision>
  <dcterms:created xsi:type="dcterms:W3CDTF">2013-12-23T23:15:00Z</dcterms:created>
  <dcterms:modified xsi:type="dcterms:W3CDTF">2026-09-15T04:44:00Z</dcterms:modified>
  <cp:category/>
</cp:coreProperties>
</file>