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Autoevaluación de avance · Fase 2</w:t>
      </w:r>
    </w:p>
    <w:p>
      <w:r>
        <w:rPr>
          <w:color w:val="586B7E"/>
          <w:sz w:val="18"/>
        </w:rPr>
        <w:t>Hoja de apoyo para Samantha Tapia  |  Proyecto Sistema MPAZ RFID  |  Semana 9</w:t>
      </w:r>
    </w:p>
    <w:p>
      <w:pPr>
        <w:spacing w:after="180"/>
      </w:pPr>
      <w:r>
        <w:t>Este documento ayuda a revisar los ocho indicadores de la pauta oficial 2.2, sin reemplazarla. Solo Samantha debe elegir el nivel de logro en la rúbrica de Duoc UC. Las afirmaciones a continuación son antecedentes disponibles del proyecto, no una certificación de resultados.</w:t>
      </w:r>
    </w:p>
    <w:p>
      <w:pPr>
        <w:pStyle w:val="Heading1"/>
      </w:pPr>
      <w:r>
        <w:t>IL 2.1 · Desarrollo del proyecto y evidencias</w:t>
      </w:r>
    </w:p>
    <w:p>
      <w:pPr>
        <w:pStyle w:val="Heading2"/>
      </w:pPr>
      <w:r>
        <w:t>1. Ajustes al Proyecto APT</w:t>
      </w:r>
      <w:r>
        <w:rPr>
          <w:i/>
        </w:rPr>
        <w:t xml:space="preserve">  ·  20 %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6E0EA"/>
          <w:left w:val="single" w:sz="5" w:color="D6E0EA"/>
          <w:bottom w:val="single" w:sz="5" w:color="D6E0EA"/>
          <w:right w:val="single" w:sz="5" w:color="D6E0EA"/>
          <w:insideH w:val="single" w:sz="5" w:color="D6E0EA"/>
          <w:insideV w:val="single" w:sz="5" w:color="D6E0EA"/>
        </w:tblBorders>
      </w:tblPr>
      <w:tblGrid>
        <w:gridCol w:w="1814"/>
        <w:gridCol w:w="7427"/>
      </w:tblGrid>
      <w:tr>
        <w:tc>
          <w:tcPr>
            <w:tcW w:type="dxa" w:w="1814"/>
            <w:vAlign w:val="center"/>
            <w:shd w:fill="EEF3F7"/>
          </w:tcPr>
          <w:p>
            <w:pPr>
              <w:spacing w:after="20"/>
            </w:pPr>
            <w:r>
              <w:rPr>
                <w:sz w:val="18"/>
              </w:rPr>
              <w:t>Base disponible</w:t>
            </w:r>
          </w:p>
        </w:tc>
        <w:tc>
          <w:tcPr>
            <w:tcW w:type="dxa" w:w="7427"/>
            <w:vAlign w:val="center"/>
          </w:tcPr>
          <w:p>
            <w:pPr>
              <w:spacing w:after="20"/>
            </w:pPr>
            <w:r>
              <w:rPr>
                <w:sz w:val="18"/>
              </w:rPr>
              <w:t>En la Ficha 04 se priorizan la administración de tótems, la integración final y las pruebas en las semanas restantes. Existe una propuesta de ajustes a la planificación.</w:t>
            </w:r>
          </w:p>
        </w:tc>
      </w:tr>
      <w:tr>
        <w:tc>
          <w:tcPr>
            <w:tcW w:type="dxa" w:w="1814"/>
            <w:vAlign w:val="center"/>
            <w:shd w:fill="EEF3F7"/>
          </w:tcPr>
          <w:p>
            <w:pPr>
              <w:spacing w:after="20"/>
            </w:pPr>
            <w:r>
              <w:rPr>
                <w:sz w:val="18"/>
              </w:rPr>
              <w:t>Por comprobar</w:t>
            </w:r>
          </w:p>
        </w:tc>
        <w:tc>
          <w:tcPr>
            <w:tcW w:type="dxa" w:w="7427"/>
            <w:vAlign w:val="center"/>
          </w:tcPr>
          <w:p>
            <w:pPr>
              <w:spacing w:after="20"/>
            </w:pPr>
            <w:r>
              <w:rPr>
                <w:sz w:val="18"/>
              </w:rPr>
              <w:t>Contrastar el plan anterior con los cambios reales y anotar la retroalimentación que haya entregado el docente; no atribuirle comentarios que no estén registrados.</w:t>
            </w:r>
          </w:p>
        </w:tc>
      </w:tr>
    </w:tbl>
    <w:p>
      <w:pPr>
        <w:spacing w:before="60"/>
      </w:pPr>
      <w:r>
        <w:rPr>
          <w:b/>
          <w:color w:val="134368"/>
          <w:sz w:val="18"/>
        </w:rPr>
        <w:t>Nivel que yo elegiré:  ☐ 100 %    ☐ 60 %    ☐ 30 %    ☐ 0 %</w:t>
      </w:r>
    </w:p>
    <w:p>
      <w:pPr>
        <w:pStyle w:val="Heading2"/>
      </w:pPr>
      <w:r>
        <w:t>2. Metodología de trabajo</w:t>
      </w:r>
      <w:r>
        <w:rPr>
          <w:i/>
        </w:rPr>
        <w:t xml:space="preserve">  ·  20 %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6E0EA"/>
          <w:left w:val="single" w:sz="5" w:color="D6E0EA"/>
          <w:bottom w:val="single" w:sz="5" w:color="D6E0EA"/>
          <w:right w:val="single" w:sz="5" w:color="D6E0EA"/>
          <w:insideH w:val="single" w:sz="5" w:color="D6E0EA"/>
          <w:insideV w:val="single" w:sz="5" w:color="D6E0EA"/>
        </w:tblBorders>
      </w:tblPr>
      <w:tblGrid>
        <w:gridCol w:w="1814"/>
        <w:gridCol w:w="7427"/>
      </w:tblGrid>
      <w:tr>
        <w:tc>
          <w:tcPr>
            <w:tcW w:type="dxa" w:w="1814"/>
            <w:vAlign w:val="center"/>
            <w:shd w:fill="EEF3F7"/>
          </w:tcPr>
          <w:p>
            <w:pPr>
              <w:spacing w:after="20"/>
            </w:pPr>
            <w:r>
              <w:rPr>
                <w:sz w:val="18"/>
              </w:rPr>
              <w:t>Base disponible</w:t>
            </w:r>
          </w:p>
        </w:tc>
        <w:tc>
          <w:tcPr>
            <w:tcW w:type="dxa" w:w="7427"/>
            <w:vAlign w:val="center"/>
          </w:tcPr>
          <w:p>
            <w:pPr>
              <w:spacing w:after="20"/>
            </w:pPr>
            <w:r>
              <w:rPr>
                <w:sz w:val="18"/>
              </w:rPr>
              <w:t>Las Fichas 02 y 04 describen una metodología incremental: SQLite, API Flask, panel, RFID y seguimiento por iteraciones.</w:t>
            </w:r>
          </w:p>
        </w:tc>
      </w:tr>
      <w:tr>
        <w:tc>
          <w:tcPr>
            <w:tcW w:type="dxa" w:w="1814"/>
            <w:vAlign w:val="center"/>
            <w:shd w:fill="EEF3F7"/>
          </w:tcPr>
          <w:p>
            <w:pPr>
              <w:spacing w:after="20"/>
            </w:pPr>
            <w:r>
              <w:rPr>
                <w:sz w:val="18"/>
              </w:rPr>
              <w:t>Por comprobar</w:t>
            </w:r>
          </w:p>
        </w:tc>
        <w:tc>
          <w:tcPr>
            <w:tcW w:type="dxa" w:w="7427"/>
            <w:vAlign w:val="center"/>
          </w:tcPr>
          <w:p>
            <w:pPr>
              <w:spacing w:after="20"/>
            </w:pPr>
            <w:r>
              <w:rPr>
                <w:sz w:val="18"/>
              </w:rPr>
              <w:t>Precisar qué objetivos del avance ya se demostraron y cuáles están parciales. Verificar fechas y responsables en las fichas.</w:t>
            </w:r>
          </w:p>
        </w:tc>
      </w:tr>
    </w:tbl>
    <w:p>
      <w:pPr>
        <w:spacing w:before="60"/>
      </w:pPr>
      <w:r>
        <w:rPr>
          <w:b/>
          <w:color w:val="134368"/>
          <w:sz w:val="18"/>
        </w:rPr>
        <w:t>Nivel que yo elegiré:  ☐ 100 %    ☐ 60 %    ☐ 30 %    ☐ 0 %</w:t>
      </w:r>
    </w:p>
    <w:p>
      <w:pPr>
        <w:pStyle w:val="Heading2"/>
      </w:pPr>
      <w:r>
        <w:t>3. Evidencias del avance</w:t>
      </w:r>
      <w:r>
        <w:rPr>
          <w:i/>
        </w:rPr>
        <w:t xml:space="preserve">  ·  25 %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6E0EA"/>
          <w:left w:val="single" w:sz="5" w:color="D6E0EA"/>
          <w:bottom w:val="single" w:sz="5" w:color="D6E0EA"/>
          <w:right w:val="single" w:sz="5" w:color="D6E0EA"/>
          <w:insideH w:val="single" w:sz="5" w:color="D6E0EA"/>
          <w:insideV w:val="single" w:sz="5" w:color="D6E0EA"/>
        </w:tblBorders>
      </w:tblPr>
      <w:tblGrid>
        <w:gridCol w:w="1814"/>
        <w:gridCol w:w="7427"/>
      </w:tblGrid>
      <w:tr>
        <w:tc>
          <w:tcPr>
            <w:tcW w:type="dxa" w:w="1814"/>
            <w:vAlign w:val="center"/>
            <w:shd w:fill="EEF3F7"/>
          </w:tcPr>
          <w:p>
            <w:pPr>
              <w:spacing w:after="20"/>
            </w:pPr>
            <w:r>
              <w:rPr>
                <w:sz w:val="18"/>
              </w:rPr>
              <w:t>Base disponible</w:t>
            </w:r>
          </w:p>
        </w:tc>
        <w:tc>
          <w:tcPr>
            <w:tcW w:type="dxa" w:w="7427"/>
            <w:vAlign w:val="center"/>
          </w:tcPr>
          <w:p>
            <w:pPr>
              <w:spacing w:after="20"/>
            </w:pPr>
            <w:r>
              <w:rPr>
                <w:sz w:val="18"/>
              </w:rPr>
              <w:t>En GitHub existen las fichas de avance 02, 03 y 04. En la Ficha 04 se informa un 87,5 % de avance ponderado.</w:t>
            </w:r>
          </w:p>
        </w:tc>
      </w:tr>
      <w:tr>
        <w:tc>
          <w:tcPr>
            <w:tcW w:type="dxa" w:w="1814"/>
            <w:vAlign w:val="center"/>
            <w:shd w:fill="EEF3F7"/>
          </w:tcPr>
          <w:p>
            <w:pPr>
              <w:spacing w:after="20"/>
            </w:pPr>
            <w:r>
              <w:rPr>
                <w:sz w:val="18"/>
              </w:rPr>
              <w:t>Por comprobar</w:t>
            </w:r>
          </w:p>
        </w:tc>
        <w:tc>
          <w:tcPr>
            <w:tcW w:type="dxa" w:w="7427"/>
            <w:vAlign w:val="center"/>
          </w:tcPr>
          <w:p>
            <w:pPr>
              <w:spacing w:after="20"/>
            </w:pPr>
            <w:r>
              <w:rPr>
                <w:sz w:val="18"/>
              </w:rPr>
              <w:t>Las fichas y el código no reemplazan pantallazos, casos de prueba ni demostraciones adjuntas. Estas evidencias visuales siguen pendientes por decisión del equipo.</w:t>
            </w:r>
          </w:p>
        </w:tc>
      </w:tr>
    </w:tbl>
    <w:p>
      <w:pPr>
        <w:spacing w:before="60"/>
      </w:pPr>
      <w:r>
        <w:rPr>
          <w:b/>
          <w:color w:val="134368"/>
          <w:sz w:val="18"/>
        </w:rPr>
        <w:t>Nivel que yo elegiré:  ☐ 100 %    ☐ 60 %    ☐ 30 %    ☐ 0 %</w:t>
      </w:r>
    </w:p>
    <w:p>
      <w:pPr>
        <w:pStyle w:val="Heading2"/>
      </w:pPr>
      <w:r>
        <w:t>4. Lenguaje técnico preciso</w:t>
      </w:r>
      <w:r>
        <w:rPr>
          <w:i/>
        </w:rPr>
        <w:t xml:space="preserve">  ·  5 %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6E0EA"/>
          <w:left w:val="single" w:sz="5" w:color="D6E0EA"/>
          <w:bottom w:val="single" w:sz="5" w:color="D6E0EA"/>
          <w:right w:val="single" w:sz="5" w:color="D6E0EA"/>
          <w:insideH w:val="single" w:sz="5" w:color="D6E0EA"/>
          <w:insideV w:val="single" w:sz="5" w:color="D6E0EA"/>
        </w:tblBorders>
      </w:tblPr>
      <w:tblGrid>
        <w:gridCol w:w="1814"/>
        <w:gridCol w:w="7427"/>
      </w:tblGrid>
      <w:tr>
        <w:tc>
          <w:tcPr>
            <w:tcW w:type="dxa" w:w="1814"/>
            <w:vAlign w:val="center"/>
            <w:shd w:fill="EEF3F7"/>
          </w:tcPr>
          <w:p>
            <w:pPr>
              <w:spacing w:after="20"/>
            </w:pPr>
            <w:r>
              <w:rPr>
                <w:sz w:val="18"/>
              </w:rPr>
              <w:t>Base disponible</w:t>
            </w:r>
          </w:p>
        </w:tc>
        <w:tc>
          <w:tcPr>
            <w:tcW w:type="dxa" w:w="7427"/>
            <w:vAlign w:val="center"/>
          </w:tcPr>
          <w:p>
            <w:pPr>
              <w:spacing w:after="20"/>
            </w:pPr>
            <w:r>
              <w:rPr>
                <w:sz w:val="18"/>
              </w:rPr>
              <w:t>Los documentos describen Flask, API HTTP, SQLite, UID, PN532, ESP32, autenticación e idempotencia mediante evento_id.</w:t>
            </w:r>
          </w:p>
        </w:tc>
      </w:tr>
      <w:tr>
        <w:tc>
          <w:tcPr>
            <w:tcW w:type="dxa" w:w="1814"/>
            <w:vAlign w:val="center"/>
            <w:shd w:fill="EEF3F7"/>
          </w:tcPr>
          <w:p>
            <w:pPr>
              <w:spacing w:after="20"/>
            </w:pPr>
            <w:r>
              <w:rPr>
                <w:sz w:val="18"/>
              </w:rPr>
              <w:t>Por comprobar</w:t>
            </w:r>
          </w:p>
        </w:tc>
        <w:tc>
          <w:tcPr>
            <w:tcW w:type="dxa" w:w="7427"/>
            <w:vAlign w:val="center"/>
          </w:tcPr>
          <w:p>
            <w:pPr>
              <w:spacing w:after="20"/>
            </w:pPr>
            <w:r>
              <w:rPr>
                <w:sz w:val="18"/>
              </w:rPr>
              <w:t>Revisar que cada término esté empleado con precisión y que se describan solo funciones demostradas.</w:t>
            </w:r>
          </w:p>
        </w:tc>
      </w:tr>
    </w:tbl>
    <w:p>
      <w:pPr>
        <w:spacing w:before="60"/>
      </w:pPr>
      <w:r>
        <w:rPr>
          <w:b/>
          <w:color w:val="134368"/>
          <w:sz w:val="18"/>
        </w:rPr>
        <w:t>Nivel que yo elegiré:  ☐ 100 %    ☐ 60 %    ☐ 30 %    ☐ 0 %</w:t>
      </w:r>
    </w:p>
    <w:p>
      <w:r>
        <w:br w:type="page"/>
      </w:r>
    </w:p>
    <w:p>
      <w:pPr>
        <w:pStyle w:val="Title"/>
      </w:pPr>
      <w:r>
        <w:t>Continuación · Indicadores 5 a 8</w:t>
      </w:r>
    </w:p>
    <w:p>
      <w:r>
        <w:rPr>
          <w:color w:val="586B7E"/>
          <w:sz w:val="18"/>
        </w:rPr>
        <w:t>Autoevaluación 2.2  |  Material individual de trabajo</w:t>
      </w:r>
    </w:p>
    <w:p>
      <w:pPr>
        <w:pStyle w:val="Heading1"/>
      </w:pPr>
      <w:r>
        <w:t>IL 2.3 · Aspectos formales del informe</w:t>
      </w:r>
    </w:p>
    <w:p>
      <w:pPr>
        <w:pStyle w:val="Heading2"/>
      </w:pPr>
      <w:r>
        <w:t>5. Redacción, ortografía y referencias</w:t>
      </w:r>
      <w:r>
        <w:rPr>
          <w:i/>
        </w:rPr>
        <w:t xml:space="preserve">  ·  5 %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6E0EA"/>
          <w:left w:val="single" w:sz="5" w:color="D6E0EA"/>
          <w:bottom w:val="single" w:sz="5" w:color="D6E0EA"/>
          <w:right w:val="single" w:sz="5" w:color="D6E0EA"/>
          <w:insideH w:val="single" w:sz="5" w:color="D6E0EA"/>
          <w:insideV w:val="single" w:sz="5" w:color="D6E0EA"/>
        </w:tblBorders>
      </w:tblPr>
      <w:tblGrid>
        <w:gridCol w:w="1814"/>
        <w:gridCol w:w="7427"/>
      </w:tblGrid>
      <w:tr>
        <w:tc>
          <w:tcPr>
            <w:tcW w:type="dxa" w:w="1814"/>
            <w:vAlign w:val="center"/>
            <w:shd w:fill="EEF3F7"/>
          </w:tcPr>
          <w:p>
            <w:pPr>
              <w:spacing w:after="20"/>
            </w:pPr>
            <w:r>
              <w:rPr>
                <w:sz w:val="18"/>
              </w:rPr>
              <w:t>Base disponible</w:t>
            </w:r>
          </w:p>
        </w:tc>
        <w:tc>
          <w:tcPr>
            <w:tcW w:type="dxa" w:w="7427"/>
            <w:vAlign w:val="center"/>
          </w:tcPr>
          <w:p>
            <w:pPr>
              <w:spacing w:after="20"/>
            </w:pPr>
            <w:r>
              <w:rPr>
                <w:sz w:val="18"/>
              </w:rPr>
              <w:t>La guía 2.4 se encuentra redactada como borrador de tres páginas y usa terminología técnica del proyecto.</w:t>
            </w:r>
          </w:p>
        </w:tc>
      </w:tr>
      <w:tr>
        <w:tc>
          <w:tcPr>
            <w:tcW w:type="dxa" w:w="1814"/>
            <w:vAlign w:val="center"/>
            <w:shd w:fill="EEF3F7"/>
          </w:tcPr>
          <w:p>
            <w:pPr>
              <w:spacing w:after="20"/>
            </w:pPr>
            <w:r>
              <w:rPr>
                <w:sz w:val="18"/>
              </w:rPr>
              <w:t>Por comprobar</w:t>
            </w:r>
          </w:p>
        </w:tc>
        <w:tc>
          <w:tcPr>
            <w:tcW w:type="dxa" w:w="7427"/>
            <w:vAlign w:val="center"/>
          </w:tcPr>
          <w:p>
            <w:pPr>
              <w:spacing w:after="20"/>
            </w:pPr>
            <w:r>
              <w:rPr>
                <w:sz w:val="18"/>
              </w:rPr>
              <w:t>Revisar ortografía, consistencia de redacción, fuentes y referencias; no asignar nivel máximo sin comprobar el informe completo.</w:t>
            </w:r>
          </w:p>
        </w:tc>
      </w:tr>
    </w:tbl>
    <w:p>
      <w:pPr>
        <w:spacing w:before="60"/>
      </w:pPr>
      <w:r>
        <w:rPr>
          <w:b/>
          <w:color w:val="134368"/>
          <w:sz w:val="18"/>
        </w:rPr>
        <w:t>Nivel que yo elegiré:  ☐ 100 %    ☐ 60 %    ☐ 30 %    ☐ 0 %</w:t>
      </w:r>
    </w:p>
    <w:p>
      <w:pPr>
        <w:pStyle w:val="Heading2"/>
      </w:pPr>
      <w:r>
        <w:t>6. Formato del informe de avance</w:t>
      </w:r>
      <w:r>
        <w:rPr>
          <w:i/>
        </w:rPr>
        <w:t xml:space="preserve">  ·  5 %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6E0EA"/>
          <w:left w:val="single" w:sz="5" w:color="D6E0EA"/>
          <w:bottom w:val="single" w:sz="5" w:color="D6E0EA"/>
          <w:right w:val="single" w:sz="5" w:color="D6E0EA"/>
          <w:insideH w:val="single" w:sz="5" w:color="D6E0EA"/>
          <w:insideV w:val="single" w:sz="5" w:color="D6E0EA"/>
        </w:tblBorders>
      </w:tblPr>
      <w:tblGrid>
        <w:gridCol w:w="1814"/>
        <w:gridCol w:w="7427"/>
      </w:tblGrid>
      <w:tr>
        <w:tc>
          <w:tcPr>
            <w:tcW w:type="dxa" w:w="1814"/>
            <w:vAlign w:val="center"/>
            <w:shd w:fill="EEF3F7"/>
          </w:tcPr>
          <w:p>
            <w:pPr>
              <w:spacing w:after="20"/>
            </w:pPr>
            <w:r>
              <w:rPr>
                <w:sz w:val="18"/>
              </w:rPr>
              <w:t>Base disponible</w:t>
            </w:r>
          </w:p>
        </w:tc>
        <w:tc>
          <w:tcPr>
            <w:tcW w:type="dxa" w:w="7427"/>
            <w:vAlign w:val="center"/>
          </w:tcPr>
          <w:p>
            <w:pPr>
              <w:spacing w:after="20"/>
            </w:pPr>
            <w:r>
              <w:rPr>
                <w:sz w:val="18"/>
              </w:rPr>
              <w:t>El borrador 2.4 respeta la guía breve de Duoc UC: resumen, monitoreo del plan y ajustes.</w:t>
            </w:r>
          </w:p>
        </w:tc>
      </w:tr>
      <w:tr>
        <w:tc>
          <w:tcPr>
            <w:tcW w:type="dxa" w:w="1814"/>
            <w:vAlign w:val="center"/>
            <w:shd w:fill="EEF3F7"/>
          </w:tcPr>
          <w:p>
            <w:pPr>
              <w:spacing w:after="20"/>
            </w:pPr>
            <w:r>
              <w:rPr>
                <w:sz w:val="18"/>
              </w:rPr>
              <w:t>Por comprobar</w:t>
            </w:r>
          </w:p>
        </w:tc>
        <w:tc>
          <w:tcPr>
            <w:tcW w:type="dxa" w:w="7427"/>
            <w:vAlign w:val="center"/>
          </w:tcPr>
          <w:p>
            <w:pPr>
              <w:spacing w:after="20"/>
            </w:pPr>
            <w:r>
              <w:rPr>
                <w:sz w:val="18"/>
              </w:rPr>
              <w:t>La pauta 2.2 también pide formato técnico con portada, índice, abstract, desarrollo, conclusiones y reflexión: confirmar con el docente cómo se relaciona con la plantilla breve 2.4.</w:t>
            </w:r>
          </w:p>
        </w:tc>
      </w:tr>
    </w:tbl>
    <w:p>
      <w:pPr>
        <w:spacing w:before="60"/>
      </w:pPr>
      <w:r>
        <w:rPr>
          <w:b/>
          <w:color w:val="134368"/>
          <w:sz w:val="18"/>
        </w:rPr>
        <w:t>Nivel que yo elegiré:  ☐ 100 %    ☐ 60 %    ☐ 30 %    ☐ 0 %</w:t>
      </w:r>
    </w:p>
    <w:p>
      <w:pPr>
        <w:pStyle w:val="Heading1"/>
      </w:pPr>
      <w:r>
        <w:t>IL 2.4 · Calidad y comunicación</w:t>
      </w:r>
    </w:p>
    <w:p>
      <w:pPr>
        <w:pStyle w:val="Heading2"/>
      </w:pPr>
      <w:r>
        <w:t>7. Calidad disciplinar del informe</w:t>
      </w:r>
      <w:r>
        <w:rPr>
          <w:i/>
        </w:rPr>
        <w:t xml:space="preserve">  ·  10 %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6E0EA"/>
          <w:left w:val="single" w:sz="5" w:color="D6E0EA"/>
          <w:bottom w:val="single" w:sz="5" w:color="D6E0EA"/>
          <w:right w:val="single" w:sz="5" w:color="D6E0EA"/>
          <w:insideH w:val="single" w:sz="5" w:color="D6E0EA"/>
          <w:insideV w:val="single" w:sz="5" w:color="D6E0EA"/>
        </w:tblBorders>
      </w:tblPr>
      <w:tblGrid>
        <w:gridCol w:w="1814"/>
        <w:gridCol w:w="7427"/>
      </w:tblGrid>
      <w:tr>
        <w:tc>
          <w:tcPr>
            <w:tcW w:type="dxa" w:w="1814"/>
            <w:vAlign w:val="center"/>
            <w:shd w:fill="EEF3F7"/>
          </w:tcPr>
          <w:p>
            <w:pPr>
              <w:spacing w:after="20"/>
            </w:pPr>
            <w:r>
              <w:rPr>
                <w:sz w:val="18"/>
              </w:rPr>
              <w:t>Base disponible</w:t>
            </w:r>
          </w:p>
        </w:tc>
        <w:tc>
          <w:tcPr>
            <w:tcW w:type="dxa" w:w="7427"/>
            <w:vAlign w:val="center"/>
          </w:tcPr>
          <w:p>
            <w:pPr>
              <w:spacing w:after="20"/>
            </w:pPr>
            <w:r>
              <w:rPr>
                <w:sz w:val="18"/>
              </w:rPr>
              <w:t>Existen lógica de asistencias, modelo SQLite, endpoints de validación y documentación de seguimiento de versiones.</w:t>
            </w:r>
          </w:p>
        </w:tc>
      </w:tr>
      <w:tr>
        <w:tc>
          <w:tcPr>
            <w:tcW w:type="dxa" w:w="1814"/>
            <w:vAlign w:val="center"/>
            <w:shd w:fill="EEF3F7"/>
          </w:tcPr>
          <w:p>
            <w:pPr>
              <w:spacing w:after="20"/>
            </w:pPr>
            <w:r>
              <w:rPr>
                <w:sz w:val="18"/>
              </w:rPr>
              <w:t>Por comprobar</w:t>
            </w:r>
          </w:p>
        </w:tc>
        <w:tc>
          <w:tcPr>
            <w:tcW w:type="dxa" w:w="7427"/>
            <w:vAlign w:val="center"/>
          </w:tcPr>
          <w:p>
            <w:pPr>
              <w:spacing w:after="20"/>
            </w:pPr>
            <w:r>
              <w:rPr>
                <w:sz w:val="18"/>
              </w:rPr>
              <w:t>Contrastar las competencias 1.1 a 4.3 con pruebas y registros concretos. Los aspectos de implantación integral y evidencia final continúan en revisión.</w:t>
            </w:r>
          </w:p>
        </w:tc>
      </w:tr>
    </w:tbl>
    <w:p>
      <w:pPr>
        <w:spacing w:before="60"/>
      </w:pPr>
      <w:r>
        <w:rPr>
          <w:b/>
          <w:color w:val="134368"/>
          <w:sz w:val="18"/>
        </w:rPr>
        <w:t>Nivel que yo elegiré:  ☐ 100 %    ☐ 60 %    ☐ 30 %    ☐ 0 %</w:t>
      </w:r>
    </w:p>
    <w:p>
      <w:pPr>
        <w:pStyle w:val="Heading2"/>
      </w:pPr>
      <w:r>
        <w:t>8. Comunicación escrita en inglés</w:t>
      </w:r>
      <w:r>
        <w:rPr>
          <w:i/>
        </w:rPr>
        <w:t xml:space="preserve">  ·  10 %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6E0EA"/>
          <w:left w:val="single" w:sz="5" w:color="D6E0EA"/>
          <w:bottom w:val="single" w:sz="5" w:color="D6E0EA"/>
          <w:right w:val="single" w:sz="5" w:color="D6E0EA"/>
          <w:insideH w:val="single" w:sz="5" w:color="D6E0EA"/>
          <w:insideV w:val="single" w:sz="5" w:color="D6E0EA"/>
        </w:tblBorders>
      </w:tblPr>
      <w:tblGrid>
        <w:gridCol w:w="1814"/>
        <w:gridCol w:w="7427"/>
      </w:tblGrid>
      <w:tr>
        <w:tc>
          <w:tcPr>
            <w:tcW w:type="dxa" w:w="1814"/>
            <w:vAlign w:val="center"/>
            <w:shd w:fill="EEF3F7"/>
          </w:tcPr>
          <w:p>
            <w:pPr>
              <w:spacing w:after="20"/>
            </w:pPr>
            <w:r>
              <w:rPr>
                <w:sz w:val="18"/>
              </w:rPr>
              <w:t>Base disponible</w:t>
            </w:r>
          </w:p>
        </w:tc>
        <w:tc>
          <w:tcPr>
            <w:tcW w:type="dxa" w:w="7427"/>
            <w:vAlign w:val="center"/>
          </w:tcPr>
          <w:p>
            <w:pPr>
              <w:spacing w:after="20"/>
            </w:pPr>
            <w:r>
              <w:rPr>
                <w:sz w:val="18"/>
              </w:rPr>
              <w:t>La pauta solicita abstract en español e inglés, conclusiones individuales en inglés y reflexión en inglés.</w:t>
            </w:r>
          </w:p>
        </w:tc>
      </w:tr>
      <w:tr>
        <w:tc>
          <w:tcPr>
            <w:tcW w:type="dxa" w:w="1814"/>
            <w:vAlign w:val="center"/>
            <w:shd w:fill="EEF3F7"/>
          </w:tcPr>
          <w:p>
            <w:pPr>
              <w:spacing w:after="20"/>
            </w:pPr>
            <w:r>
              <w:rPr>
                <w:sz w:val="18"/>
              </w:rPr>
              <w:t>Por comprobar</w:t>
            </w:r>
          </w:p>
        </w:tc>
        <w:tc>
          <w:tcPr>
            <w:tcW w:type="dxa" w:w="7427"/>
            <w:vAlign w:val="center"/>
          </w:tcPr>
          <w:p>
            <w:pPr>
              <w:spacing w:after="20"/>
            </w:pPr>
            <w:r>
              <w:rPr>
                <w:sz w:val="18"/>
              </w:rPr>
              <w:t>Verificar si esos apartados existen realmente y su calidad lingüística. Si no están preparados, reconocerlo antes de seleccionar el nivel correspondiente.</w:t>
            </w:r>
          </w:p>
        </w:tc>
      </w:tr>
    </w:tbl>
    <w:p>
      <w:pPr>
        <w:spacing w:before="60"/>
      </w:pPr>
      <w:r>
        <w:rPr>
          <w:b/>
          <w:color w:val="134368"/>
          <w:sz w:val="18"/>
        </w:rPr>
        <w:t>Nivel que yo elegiré:  ☐ 100 %    ☐ 60 %    ☐ 30 %    ☐ 0 %</w:t>
      </w:r>
    </w:p>
    <w:p>
      <w:pPr>
        <w:pStyle w:val="Heading1"/>
      </w:pPr>
      <w:r>
        <w:t>Antes de entregar la pauta oficial</w:t>
      </w:r>
    </w:p>
    <w:p>
      <w:pPr>
        <w:pStyle w:val="ListBullet"/>
      </w:pPr>
      <w:r>
        <w:rPr>
          <w:sz w:val="18"/>
        </w:rPr>
        <w:t>Leer el descriptor correspondiente a cada nivel y marcar una sola opción por indicador en el formulario 2.2 original.</w:t>
      </w:r>
    </w:p>
    <w:p>
      <w:pPr>
        <w:pStyle w:val="ListBullet"/>
      </w:pPr>
      <w:r>
        <w:rPr>
          <w:sz w:val="18"/>
        </w:rPr>
        <w:t>Revisar si el informe 2.4 incorpora efectivamente los anexos; por ahora las capturas técnicas siguen pendientes.</w:t>
      </w:r>
    </w:p>
    <w:p>
      <w:pPr>
        <w:pStyle w:val="ListBullet"/>
      </w:pPr>
      <w:r>
        <w:rPr>
          <w:sz w:val="18"/>
        </w:rPr>
        <w:t>Distinguir las estimaciones de la Ficha 04 de pruebas verificadas, y confirmar los responsables del trabajo con Lucas.</w:t>
      </w:r>
    </w:p>
    <w:p>
      <w:pPr>
        <w:pStyle w:val="ListBullet"/>
      </w:pPr>
      <w:r>
        <w:rPr>
          <w:sz w:val="18"/>
        </w:rPr>
        <w:t>Conservar el documento 2.2 en la carpeta individual de Samantha solo después de completar personalmente su valoración.</w:t>
      </w:r>
    </w:p>
    <w:sectPr w:rsidR="00FC693F" w:rsidRPr="0006063C" w:rsidSect="00034616">
      <w:footerReference w:type="default" r:id="rId9"/>
      <w:pgSz w:w="12240" w:h="15840"/>
      <w:pgMar w:top="935" w:right="1077" w:bottom="879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7D8C"/>
        <w:sz w:val="16"/>
      </w:rPr>
      <w:t>MPAZ RFID  ·  Capstone PTY4614  ·  Material personal de apoyo, no evaluado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color w:val="28334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4436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4436D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22D5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apoyo — Autoevaluación Informe de Avance Fase 2</dc:title>
  <dc:subject>Sistema MPAZ RFID · Capstone APT122/PTy4614</dc:subject>
  <dc:creator/>
  <cp:keywords/>
  <dc:description>Borrador sin calificaciones ni marcas de autoevaluación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