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Autoevaluación de avance — Fase 2</w:t>
      </w:r>
    </w:p>
    <w:p>
      <w:r>
        <w:rPr>
          <w:b/>
        </w:rPr>
        <w:t>PROPUESTA DE NIVELES PARA REVISIÓN PERSONAL</w:t>
      </w:r>
    </w:p>
    <w:p>
      <w:r>
        <w:t>Proyecto: Sistema MPAZ RFID: Plataforma Inteligente de Asistencia Escolar  |  Estudiante: Samantha Tapia  |  Capstone PTY4614</w:t>
      </w:r>
    </w:p>
    <w:p>
      <w:r>
        <w:t>La pauta oficial de Duoc UC (2.2) es una autoevaluación individual, formativa, en la semana 9 y con ponderación final de 0 %. Este archivo es un análisis de apoyo: NO reemplaza la pauta oficial, NO registra decisiones personales ni acredita aprobación docente.</w:t>
      </w:r>
    </w:p>
    <w:p>
      <w:r>
        <w:rPr>
          <w:b/>
        </w:rPr>
        <w:t xml:space="preserve">Escala de la rúbrica: </w:t>
      </w:r>
      <w:r>
        <w:t>Completamente logrado (100 %), Logrado (60 %), Logro incipiente (30 %) o No logrado (0 %).</w:t>
      </w:r>
    </w:p>
    <w:p>
      <w:pPr>
        <w:pStyle w:val="Heading1"/>
      </w:pPr>
      <w:r>
        <w:t>Propuesta por indicador (sin marcas en la pauta oficial)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324"/>
        <w:gridCol w:w="794"/>
        <w:gridCol w:w="6180"/>
      </w:tblGrid>
      <w:tr>
        <w:trPr>
          <w:cantSplit/>
          <w:tblHeader w:val="true"/>
        </w:trPr>
        <w:tc>
          <w:tcPr>
            <w:tcW w:type="dxa" w:w="2466"/>
            <w:shd w:fill="213E64"/>
          </w:tcPr>
          <w:p>
            <w:r>
              <w:rPr>
                <w:b/>
                <w:color w:val="FFFFFF"/>
                <w:sz w:val="17"/>
              </w:rPr>
              <w:t>IE</w:t>
            </w:r>
          </w:p>
        </w:tc>
        <w:tc>
          <w:tcPr>
            <w:tcW w:type="dxa" w:w="2466"/>
            <w:shd w:fill="213E64"/>
          </w:tcPr>
          <w:p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2466"/>
            <w:shd w:fill="213E64"/>
          </w:tcPr>
          <w:p>
            <w:r>
              <w:rPr>
                <w:b/>
                <w:color w:val="FFFFFF"/>
                <w:sz w:val="17"/>
              </w:rPr>
              <w:t>Peso</w:t>
            </w:r>
          </w:p>
        </w:tc>
        <w:tc>
          <w:tcPr>
            <w:tcW w:type="dxa" w:w="2466"/>
            <w:shd w:fill="213E64"/>
          </w:tcPr>
          <w:p>
            <w:r>
              <w:rPr>
                <w:b/>
                <w:color w:val="FFFFFF"/>
                <w:sz w:val="17"/>
              </w:rPr>
              <w:t>Nivel provisional y fundamento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6"/>
              </w:rPr>
              <w:t>Ajustes a la propuesta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sz w:val="16"/>
              </w:rPr>
              <w:t>20 %</w:t>
            </w:r>
          </w:p>
        </w:tc>
        <w:tc>
          <w:tcPr>
            <w:tcW w:type="dxa" w:w="6180"/>
            <w:vAlign w:val="center"/>
          </w:tcPr>
          <w:p>
            <w:pPr>
              <w:spacing w:after="0"/>
            </w:pPr>
            <w:r>
              <w:rPr>
                <w:sz w:val="16"/>
              </w:rPr>
              <w:t>Logrado · 60 %</w:t>
              <w:br/>
              <w:t>Las fichas plantean cambios y prioridades de cierre. No está documentada toda la retroalimentación docente requerida para asegurar el 100 %.</w:t>
            </w:r>
          </w:p>
        </w:tc>
      </w:tr>
      <w:tr>
        <w:trPr>
          <w:cantSplit/>
        </w:trPr>
        <w:tc>
          <w:tcPr>
            <w:tcW w:type="dxa" w:w="454"/>
            <w:shd w:fill="EFF3F9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324"/>
            <w:shd w:fill="EFF3F9"/>
            <w:vAlign w:val="center"/>
          </w:tcPr>
          <w:p>
            <w:pPr>
              <w:spacing w:after="0"/>
            </w:pPr>
            <w:r>
              <w:rPr>
                <w:sz w:val="16"/>
              </w:rPr>
              <w:t>Metodología del proyecto</w:t>
            </w:r>
          </w:p>
        </w:tc>
        <w:tc>
          <w:tcPr>
            <w:tcW w:type="dxa" w:w="794"/>
            <w:shd w:fill="EFF3F9"/>
            <w:vAlign w:val="center"/>
          </w:tcPr>
          <w:p>
            <w:pPr>
              <w:spacing w:after="0"/>
            </w:pPr>
            <w:r>
              <w:rPr>
                <w:sz w:val="16"/>
              </w:rPr>
              <w:t>20 %</w:t>
            </w:r>
          </w:p>
        </w:tc>
        <w:tc>
          <w:tcPr>
            <w:tcW w:type="dxa" w:w="6180"/>
            <w:shd w:fill="EFF3F9"/>
            <w:vAlign w:val="center"/>
          </w:tcPr>
          <w:p>
            <w:pPr>
              <w:spacing w:after="0"/>
            </w:pPr>
            <w:r>
              <w:rPr>
                <w:sz w:val="16"/>
              </w:rPr>
              <w:t>Logrado · 60 %</w:t>
              <w:br/>
              <w:t>Se aplicó un enfoque incremental con API, base de datos, panel e integración. El cumplimiento exacto del calendario y todos los objetivos requiere validación.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6"/>
              </w:rPr>
              <w:t>Evidencias del avance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sz w:val="16"/>
              </w:rPr>
              <w:t>25 %</w:t>
            </w:r>
          </w:p>
        </w:tc>
        <w:tc>
          <w:tcPr>
            <w:tcW w:type="dxa" w:w="6180"/>
            <w:vAlign w:val="center"/>
          </w:tcPr>
          <w:p>
            <w:pPr>
              <w:spacing w:after="0"/>
            </w:pPr>
            <w:r>
              <w:rPr>
                <w:sz w:val="16"/>
              </w:rPr>
              <w:t>Logrado · 60 % (condicional)</w:t>
              <w:br/>
              <w:t>Existen fichas 02–04 y código en GitHub. Aún faltan capturas, casos de prueba y anexos; bajar a incipiente si el docente considera los ajustes mayores.</w:t>
            </w:r>
          </w:p>
        </w:tc>
      </w:tr>
      <w:tr>
        <w:trPr>
          <w:cantSplit/>
        </w:trPr>
        <w:tc>
          <w:tcPr>
            <w:tcW w:type="dxa" w:w="454"/>
            <w:shd w:fill="EFF3F9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324"/>
            <w:shd w:fill="EFF3F9"/>
            <w:vAlign w:val="center"/>
          </w:tcPr>
          <w:p>
            <w:pPr>
              <w:spacing w:after="0"/>
            </w:pPr>
            <w:r>
              <w:rPr>
                <w:sz w:val="16"/>
              </w:rPr>
              <w:t>Precisión del lenguaje técnico</w:t>
            </w:r>
          </w:p>
        </w:tc>
        <w:tc>
          <w:tcPr>
            <w:tcW w:type="dxa" w:w="794"/>
            <w:shd w:fill="EFF3F9"/>
            <w:vAlign w:val="center"/>
          </w:tcPr>
          <w:p>
            <w:pPr>
              <w:spacing w:after="0"/>
            </w:pPr>
            <w:r>
              <w:rPr>
                <w:sz w:val="16"/>
              </w:rPr>
              <w:t>5 %</w:t>
            </w:r>
          </w:p>
        </w:tc>
        <w:tc>
          <w:tcPr>
            <w:tcW w:type="dxa" w:w="6180"/>
            <w:shd w:fill="EFF3F9"/>
            <w:vAlign w:val="center"/>
          </w:tcPr>
          <w:p>
            <w:pPr>
              <w:spacing w:after="0"/>
            </w:pPr>
            <w:r>
              <w:rPr>
                <w:sz w:val="16"/>
              </w:rPr>
              <w:t>Logrado · 60 %</w:t>
              <w:br/>
              <w:t>La guía emplea API REST, Flask, SQLite, UID, evento_id y PN532. Revisar consistencia y el uso preciso de términos antes de aspirar al nivel máximo.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6"/>
              </w:rPr>
              <w:t>Redacción, ortografía y citas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sz w:val="16"/>
              </w:rPr>
              <w:t>5 %</w:t>
            </w:r>
          </w:p>
        </w:tc>
        <w:tc>
          <w:tcPr>
            <w:tcW w:type="dxa" w:w="6180"/>
            <w:vAlign w:val="center"/>
          </w:tcPr>
          <w:p>
            <w:pPr>
              <w:spacing w:after="0"/>
            </w:pPr>
            <w:r>
              <w:rPr>
                <w:sz w:val="16"/>
              </w:rPr>
              <w:t>Logrado · 60 % (condicional)</w:t>
              <w:br/>
              <w:t>El borrador está redactado, pero las referencias son internas y aún falta comprobar formato de citas y corrección final.</w:t>
            </w:r>
          </w:p>
        </w:tc>
      </w:tr>
      <w:tr>
        <w:trPr>
          <w:cantSplit/>
        </w:trPr>
        <w:tc>
          <w:tcPr>
            <w:tcW w:type="dxa" w:w="454"/>
            <w:shd w:fill="EFF3F9"/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2324"/>
            <w:shd w:fill="EFF3F9"/>
            <w:vAlign w:val="center"/>
          </w:tcPr>
          <w:p>
            <w:pPr>
              <w:spacing w:after="0"/>
            </w:pPr>
            <w:r>
              <w:rPr>
                <w:sz w:val="16"/>
              </w:rPr>
              <w:t>Formato de informe de avance</w:t>
            </w:r>
          </w:p>
        </w:tc>
        <w:tc>
          <w:tcPr>
            <w:tcW w:type="dxa" w:w="794"/>
            <w:shd w:fill="EFF3F9"/>
            <w:vAlign w:val="center"/>
          </w:tcPr>
          <w:p>
            <w:pPr>
              <w:spacing w:after="0"/>
            </w:pPr>
            <w:r>
              <w:rPr>
                <w:sz w:val="16"/>
              </w:rPr>
              <w:t>5 %</w:t>
            </w:r>
          </w:p>
        </w:tc>
        <w:tc>
          <w:tcPr>
            <w:tcW w:type="dxa" w:w="6180"/>
            <w:shd w:fill="EFF3F9"/>
            <w:vAlign w:val="center"/>
          </w:tcPr>
          <w:p>
            <w:pPr>
              <w:spacing w:after="0"/>
            </w:pPr>
            <w:r>
              <w:rPr>
                <w:sz w:val="16"/>
              </w:rPr>
              <w:t>Logro incipiente · 30 %</w:t>
              <w:br/>
              <w:t>La guía 2.4 contiene sus tres secciones, pero no acredita todos los apartados del informe técnico exigidos por 2.2: portada, índice, abstracts y conclusiones/reflexión.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6"/>
              </w:rPr>
              <w:t>Indicadores de calidad disciplinar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sz w:val="16"/>
              </w:rPr>
              <w:t>10 %</w:t>
            </w:r>
          </w:p>
        </w:tc>
        <w:tc>
          <w:tcPr>
            <w:tcW w:type="dxa" w:w="6180"/>
            <w:vAlign w:val="center"/>
          </w:tcPr>
          <w:p>
            <w:pPr>
              <w:spacing w:after="0"/>
            </w:pPr>
            <w:r>
              <w:rPr>
                <w:sz w:val="16"/>
              </w:rPr>
              <w:t>Logrado · 60 % (condicional)</w:t>
              <w:br/>
              <w:t>Hay modelo de datos, API e integración descritos. Las pruebas y la implantación completa todavía necesitan evidencia y revisión.</w:t>
            </w:r>
          </w:p>
        </w:tc>
      </w:tr>
      <w:tr>
        <w:trPr>
          <w:cantSplit/>
        </w:trPr>
        <w:tc>
          <w:tcPr>
            <w:tcW w:type="dxa" w:w="454"/>
            <w:shd w:fill="EFF3F9"/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2324"/>
            <w:shd w:fill="EFF3F9"/>
            <w:vAlign w:val="center"/>
          </w:tcPr>
          <w:p>
            <w:pPr>
              <w:spacing w:after="0"/>
            </w:pPr>
            <w:r>
              <w:rPr>
                <w:sz w:val="16"/>
              </w:rPr>
              <w:t>Comunicación escrita en inglés</w:t>
            </w:r>
          </w:p>
        </w:tc>
        <w:tc>
          <w:tcPr>
            <w:tcW w:type="dxa" w:w="794"/>
            <w:shd w:fill="EFF3F9"/>
            <w:vAlign w:val="center"/>
          </w:tcPr>
          <w:p>
            <w:pPr>
              <w:spacing w:after="0"/>
            </w:pPr>
            <w:r>
              <w:rPr>
                <w:sz w:val="16"/>
              </w:rPr>
              <w:t>10 %</w:t>
            </w:r>
          </w:p>
        </w:tc>
        <w:tc>
          <w:tcPr>
            <w:tcW w:type="dxa" w:w="6180"/>
            <w:shd w:fill="EFF3F9"/>
            <w:vAlign w:val="center"/>
          </w:tcPr>
          <w:p>
            <w:pPr>
              <w:spacing w:after="0"/>
            </w:pPr>
            <w:r>
              <w:rPr>
                <w:sz w:val="16"/>
              </w:rPr>
              <w:t>No logrado · 0 % (si no existen apartados)</w:t>
              <w:br/>
              <w:t>No se encontraron en el borrador 2.4 abstract, conclusiones personales y reflexión en inglés. Revisar si están en un informe separado antes de mantener este nivel.</w:t>
            </w:r>
          </w:p>
        </w:tc>
      </w:tr>
    </w:tbl>
    <w:p>
      <w:pPr>
        <w:pStyle w:val="Heading1"/>
      </w:pPr>
      <w:r>
        <w:t>Comprobaciones antes de marcar el documento oficial</w:t>
      </w:r>
    </w:p>
    <w:p>
      <w:pPr>
        <w:pStyle w:val="ListBullet"/>
      </w:pPr>
      <w:r>
        <w:t>Confirmar quién redactó y ejecutó cada tarea: las fichas 02 y 04 y la guía 1.5 no coinciden en todas las responsabilidades.</w:t>
      </w:r>
    </w:p>
    <w:p>
      <w:pPr>
        <w:pStyle w:val="ListBullet"/>
      </w:pPr>
      <w:r>
        <w:t>Comparar la guía 2.4 con los requisitos formales de la pauta 2.2; definir con el docente si se entregan como documentos separados.</w:t>
      </w:r>
    </w:p>
    <w:p>
      <w:pPr>
        <w:pStyle w:val="ListBullet"/>
      </w:pPr>
      <w:r>
        <w:t>No presentar el 87,5 % de la Ficha 04 como resultado verificado externamente: es una cifra registrada por el propio equipo.</w:t>
      </w:r>
    </w:p>
    <w:p>
      <w:pPr>
        <w:pStyle w:val="ListBullet"/>
      </w:pPr>
      <w:r>
        <w:t>Adjuntar posteriormente las capturas de API, SQLite, ESP32/PN532, panel y reportes; por ahora están pendientes.</w:t>
      </w:r>
    </w:p>
    <w:p>
      <w:pPr>
        <w:pStyle w:val="ListBullet"/>
      </w:pPr>
      <w:r>
        <w:t>Identificar la versión que contenga el abstract en español e inglés y las conclusiones/reflexión en inglés, si existe.</w:t>
      </w:r>
    </w:p>
    <w:p>
      <w:pPr>
        <w:pStyle w:val="ListBullet"/>
      </w:pPr>
      <w:r>
        <w:t>Samantha debe escoger personalmente cada nivel; Lucas completa su propia autoevaluación individual.</w:t>
      </w:r>
    </w:p>
    <w:p>
      <w:r>
        <w:t>Fuentes del análisis: pauta oficial 2.2 de Duoc UC; borrador de la guía 2.4; fichas de avance 02 (23-09-2026) y 04 (06-10-2026); inventario de archivos del repositorio MPAZ RFID.</w:t>
      </w:r>
    </w:p>
    <w:sectPr w:rsidR="00FC693F" w:rsidRPr="0006063C" w:rsidSect="00034616">
      <w:footerReference w:type="default" r:id="rId9"/>
      <w:pgSz w:w="11906" w:h="16838"/>
      <w:pgMar w:top="992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Material de apoyo · No es pauta evaluada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634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C395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C395F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C395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