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vAlign w:val="center"/>
          </w:tcPr>
          <w:p>
            <w:r>
              <w:rPr>
                <w:rFonts w:ascii="Calibri" w:hAnsi="Calibri"/>
                <w:sz w:val="16"/>
              </w:rPr>
              <w:t>Según las fichas de seguimiento del Sistema MPAZ RFID, el equipo avanzó desde la definición de requisitos hacia una solución con lector PN532, ESP32, API REST en Python/Flask, base SQLite y panel web. La Ficha 02 (23-09-2026) documenta el primer registro de prueba y sus validaciones; la Ficha 04 (06-10-2026) declara un avance ponderado del 87,5 % para la versión 1.0. Esta cifra es una estimación del equipo y no una auditoría independiente. Se adjuntan diagramas de casos de uso, flujo y arquitectura como respaldo del diseño. Permanecen pendientes las capturas de pruebas finales, el piloto y la validación del cierre de la versión. El 13-10-2026 se documentaron consultas a SQLite y lecturas reales del ESP32 con tarjeta de demostración, que se incorporan como anexos B1-B3. No se recalculó el 87,5 % de la Ficha 04 por estas nuevas imágenes.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Se mantiene el objetivo general de automatizar el registro y consulta de asistencia escolar por NFC/RFID. No se documentan modificaciones formales al objetivo. Como ajuste del alcance de la versión 1.0 se prioriza completar la administración de tótems y estabilizar la integración antes de agregar funciones nuevas (Ficha 04).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8"/>
              </w:rPr>
              <w:t>Se mantiene el enfoque incremental declarado en las fichas: desarrollo de componentes, pruebas por iteración, revisión de riesgos y ajustes según resultados. Para el cierre se propone reforzar pruebas reproducibles y documentación. Los plazos y responsabilidades definitivos deben confirmarse con el equipo y el docente.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r>
              <w:rPr>
                <w:rFonts w:ascii="Calibri" w:hAnsi="Calibri"/>
                <w:sz w:val="16"/>
              </w:rPr>
              <w:t>Se dispone de las fichas de avance 02, 03 y 04 y del repositorio con código de API, SQLite y panel web. Como anexos documentales se adjuntan: Figura A1, casos de uso (estudiante, tótem, profesor propuesto y administrador); Figura A2, flujo RFID y validaciones; y Figura A3, arquitectura del servidor Ubuntu/Flask/SQLite. Los originales están en GitHub: MPAZ_RFID_Diagramas_para_Profesor.pdf y MPAZ_RFID_Guia_Visual_para_Profesor.pdf. Estos diagramas respaldan el diseño y la explicación técnica, pero NO sustituyen las capturas funcionales, el piloto ni las pruebas de integración pendientes. Los roles docentes, el dominio y HTTPS están representados como previstos. Evidencia técnica adicional (capturas de prueba recibidas): Anexo B1, existencia de tablas y consulta SQL de un registro de demostración; Anexo B2, transmisión de lectura desde ESP32 y rechazo del mismo evento sin duplicación en copia de pruebas; Anexo B3, fotografías del montaje ESP32/PN532. Estas imágenes tienen distinto alcance: un HTTP 200 demuestra comunicación, pero la respuesta de la captura no acredita que haya creado una asistencia nueva. La consulta de SQLite acredita un registro de prueba del 13-10-2026, sin establecer que haya sido producido por esa solicitud. Todavía faltan evidencias del piloto completo, de la seguridad de publicación web y de los reportes finales.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  <w:tblHeader w:val="true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tblHeader w:val="true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hRule="atLeast"/>
          <w:cantSplit/>
        </w:trPr>
        <w:tc>
          <w:tcPr>
            <w:tcW w:w="1328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Gestión de proyectos</w:t>
            </w:r>
          </w:p>
        </w:tc>
        <w:tc>
          <w:tcPr>
            <w:tcW w:w="1077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Requisitos y arquitectura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Reuniones; diagrama; GitHub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1–6¹</w:t>
            </w:r>
          </w:p>
        </w:tc>
        <w:tc>
          <w:tcPr>
            <w:tcW w:w="1275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Equipo</w:t>
            </w:r>
          </w:p>
        </w:tc>
        <w:tc>
          <w:tcPr>
            <w:tcW w:w="1276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Alcance inicial definido</w:t>
            </w:r>
          </w:p>
        </w:tc>
        <w:tc>
          <w:tcPr>
            <w:tcW w:w="1418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Mantener alcance V1.0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Modelado de datos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Tablas y reglas SQLite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Python; SQLite; esquema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3–8¹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Alumnos, tarjetas, asistencias, tótems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Documentar respaldo y relaciones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Desarrollo de software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API de lecturas y validación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Flask; POST /lectura; pruebas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4–10¹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API key; UID; evento_id; duplicados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Ampliar casos límite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Desarrollo de software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Panel web y autenticación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HTML/CSS/JS; Flask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6–12¹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Login y consultas reportados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Estabilizar errores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hardware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Tótem ESP32 + PN532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Firmware; Wi-Fi; buzzer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7–13¹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Lucas³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reportada en Ficha 04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Guardar pruebas verificables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Gestión de datos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Asistencias y reportes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SQLite; Excel; panel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9–14¹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Samantha³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Consultas/exportación reportadas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Completado²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Consolidar pruebas con datos ficticios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Integración y control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Administrar tótems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Backend; interfaz; pruebas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12–16¹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Equipo³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Módulo al 50 % (Ficha 04)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Cerrar registro/estado y validar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Calidad y pruebas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Pruebas finales y piloto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Casos; dispositivos; bitácora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14–18¹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Ambos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Ficha 04 declara 25 %; anexos B1–B3 parciales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curso²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Preparar piloto y capturas</w:t>
            </w:r>
          </w:p>
        </w:tc>
      </w:tr>
      <w:tr>
        <w:trPr>
          <w:trHeight w:hRule="atLeast"/>
          <w:cantSplit/>
        </w:trPr>
        <w:tc>
          <w:tcPr>
            <w:tcW w:type="dxa" w:w="132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Documentación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Informe final y defensa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Manual; GitHub; PPTX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Sem. 16–18¹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Ambos</w:t>
            </w:r>
          </w:p>
        </w:tc>
        <w:tc>
          <w:tcPr>
            <w:tcW w:type="dxa" w:w="1276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Fichas disponibles; cierre no validado</w:t>
            </w:r>
          </w:p>
        </w:tc>
        <w:tc>
          <w:tcPr>
            <w:tcW w:type="dxa" w:w="1418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En curso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57" w:lineRule="auto"/>
            </w:pPr>
            <w:r/>
            <w:r>
              <w:rPr>
                <w:rFonts w:ascii="Calibri" w:hAnsi="Calibri"/>
                <w:color w:val="222D3B"/>
                <w:sz w:val="14"/>
              </w:rPr>
              <w:t>Reunir anexos y validación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r>
        <w:br w:type="page"/>
      </w: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Factores que han facilitado y/o dificultado el desarrollo de mi plan de trabajo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Facilitadores: disponibilidad de Python, Flask y SQLite, avance incremental y documentación de las iteraciones. Dificultades: coordinación entre software y dispositivo físico, dependencia de red, manejo de eventos repetidos y necesidad de demostrar las pruebas con evidencias. La Ficha 02 señala que la integración física estaba pendiente; la Ficha 04 informa avances posteriores en este componente. Las fichas atribuyen algunas tareas de backend a Lucas, mientras la guía 1.5 distribuye el software principalmente a Samantha. Las guías 1.5 y 2.1 proponen software a Samantha y hardware a Lucas; la autoría efectiva de cada tarea debe confirmarse entre ambos y anotarse, conservando las fichas históricas.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Actividades ajustadas o eliminadas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No se ha documentado una eliminación de objetivos. Según la Ficha 04, se propuso reorganizar el cierre en ocho incrementos semanales: concluir administración de tótems, ampliar pruebas de API, comprobar asistencia diaria, estabilizar la interfaz, repetir la integración de extremo a extremo, realizar piloto, corregir errores y validar la versión 1.0. Se prioriza estabilizar el MVP antes de agregar nuevos módulos. Se debe confirmar con el docente la correspondencia entre esta planificación de cierre y la Carta Gantt de la Fase 1.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hRule="atLeast"/>
          <w:cantSplit/>
        </w:trPr>
        <w:tc>
          <w:tcPr>
            <w:tcW w:w="5000" w:type="pct"/>
            <w:vAlign w:val="top"/>
          </w:tcPr>
          <w:p>
            <w:pPr>
              <w:spacing w:before="80" w:after="100"/>
            </w:pPr>
            <w:r/>
            <w:r>
              <w:rPr>
                <w:rFonts w:ascii="Calibri" w:hAnsi="Calibri"/>
                <w:b/>
                <w:color w:val="1F3864"/>
                <w:sz w:val="20"/>
              </w:rPr>
              <w:t>Actividades que no has iniciado o están retrasadas</w:t>
            </w:r>
          </w:p>
          <w:p>
            <w:pPr>
              <w:spacing w:after="120" w:line="262" w:lineRule="auto"/>
            </w:pPr>
            <w:r>
              <w:rPr>
                <w:rFonts w:ascii="Calibri" w:hAnsi="Calibri"/>
                <w:color w:val="222D3B"/>
                <w:sz w:val="18"/>
              </w:rPr>
              <w:t>Al 06-10-2026, la Ficha 04 identifica la administración de tótems como parcial (50 %) y las pruebas finales/documentación como iniciadas (25 %). El piloto y la validación final siguen pendientes. Los anexos B1–B3 ya documentan tablas y consulta SQLite, comunicación ESP32–API y rechazo de evento repetido; no acreditan el cierre integral. La estrategia propuesta consiste en completar estos incrementos, registrar casos con datos ficticios, reunir las capturas en Fase 2 y solicitar retroalimentación del docente. No se declara ninguna prueba pendiente como aprobada.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p>
      <w:pPr>
        <w:spacing w:before="100" w:after="0"/>
      </w:pPr>
      <w:r>
        <w:rPr>
          <w:rFonts w:ascii="Calibri" w:hAnsi="Calibri"/>
          <w:i/>
          <w:color w:val="38639C"/>
          <w:sz w:val="16"/>
        </w:rPr>
        <w:t>Notas de trazabilidad: ¹ Distribución semanal orientativa de 18 semanas; confirmar con docente. ² Estado declarado en Ficha de avance 04 (06-10-2026), no verificado de forma independiente. ³ Responsabilidad propuesta según guía 1.5, pendiente de aclarar por discrepancias con Ficha 02/04.</w:t>
      </w:r>
    </w:p>
    <w:p>
      <w:pPr>
        <w:spacing w:after="0"/>
      </w:pPr>
      <w:r>
        <w:rPr>
          <w:rFonts w:ascii="Calibri" w:hAnsi="Calibri"/>
          <w:sz w:val="16"/>
        </w:rPr>
        <w:t>Referencias: Fichas de avance 02 (23-09-2026), 03 y 04 (06-10-2026); Guía 1.5 Fase 1. Originales de las figuras: MPAZ_RFID_Diagramas_para_Profesor.pdf (3 láminas) y MPAZ_RFID_Guia_Visual_para_Profesor.pdf (4 láminas), disponibles en documentacion/capstone/Fase_2/Evidencias_Proyecto/Evidencias_Documentacion/ de la rama capstone/organizacion-evidencias. Se incluyen anexos A1–A3 de diseño y B1–B3 de ejecución. Siguen pendientes capturas de interfaz, exportación, nueva asistencia correlacionada y piloto.</w:t>
      </w:r>
    </w:p>
    <w:p>
      <w:pPr>
        <w:sectPr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spacing w:before="0" w:after="20"/>
        <w:jc w:val="center"/>
      </w:pPr>
      <w:r>
        <w:rPr>
          <w:rFonts w:ascii="Calibri" w:hAnsi="Calibri"/>
          <w:b/>
          <w:color w:val="1C3B66"/>
          <w:sz w:val="22"/>
        </w:rPr>
        <w:t>ANEXO A1 · Casos de uso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49640" cy="604436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604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i/>
          <w:color w:val="506073"/>
          <w:sz w:val="16"/>
        </w:rPr>
        <w:t>Actores y funcionalidades. El rol docente sigue propuesto, pendiente de implementación.</w:t>
      </w:r>
    </w:p>
    <w:p>
      <w:r>
        <w:br w:type="page"/>
      </w:r>
    </w:p>
    <w:p>
      <w:pPr>
        <w:spacing w:before="0" w:after="20"/>
        <w:jc w:val="center"/>
      </w:pPr>
      <w:r>
        <w:rPr>
          <w:rFonts w:ascii="Calibri" w:hAnsi="Calibri"/>
          <w:b/>
          <w:color w:val="1C3B66"/>
          <w:sz w:val="22"/>
        </w:rPr>
        <w:t>ANEXO A2 · Flujo de registro RFID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49640" cy="604436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604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i/>
          <w:color w:val="506073"/>
          <w:sz w:val="16"/>
        </w:rPr>
        <w:t>Lectura, validaciones y decisiones. Diagrama documental, no acta de prueba funcional.</w:t>
      </w:r>
    </w:p>
    <w:p>
      <w:r>
        <w:br w:type="page"/>
      </w:r>
    </w:p>
    <w:p>
      <w:pPr>
        <w:spacing w:before="0" w:after="20"/>
        <w:jc w:val="center"/>
      </w:pPr>
      <w:r>
        <w:rPr>
          <w:rFonts w:ascii="Calibri" w:hAnsi="Calibri"/>
          <w:b/>
          <w:color w:val="1C3B66"/>
          <w:sz w:val="22"/>
        </w:rPr>
        <w:t>ANEXO A3 · Arquitectura institucional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49640" cy="604436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604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i/>
          <w:color w:val="506073"/>
          <w:sz w:val="16"/>
        </w:rPr>
        <w:t>Ubuntu, Flask y SQLite. Dominio, HTTPS y roles docentes aún por configurar.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1C3B66"/>
          <w:sz w:val="26"/>
        </w:rPr>
        <w:t>ANEXO B1 · Estructura y consulta de SQLite</w:t>
      </w:r>
    </w:p>
    <w:p>
      <w:pPr>
        <w:keepNext/>
        <w:spacing w:after="100"/>
      </w:pPr>
      <w:r>
        <w:rPr>
          <w:rFonts w:ascii="Calibri" w:hAnsi="Calibri"/>
          <w:color w:val="536276"/>
          <w:sz w:val="17"/>
        </w:rPr>
        <w:t>Evidencia visual en una base de demostración · Capturas proporcionadas por el equipo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9098280" cy="131171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 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131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Calibri" w:hAnsi="Calibri"/>
          <w:color w:val="414F62"/>
          <w:sz w:val="16"/>
        </w:rPr>
        <w:t>B1.1  Listado de tablas de SQLite: alumnos, asistencias, tarjetas y totems. La tabla sqlite_sequence pertenece a la administración interna de SQLite.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9098280" cy="302118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302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Calibri" w:hAnsi="Calibri"/>
          <w:color w:val="414F62"/>
          <w:sz w:val="16"/>
        </w:rPr>
        <w:t>B1.2  Consulta con JOIN entre asistencias y alumnos. Muestra “Alumno Prueba MPAZ” (curso 7B), fecha 13-10-2026, entrada 09:01:50 y salida 12:13:09, con tipo de salida «totem». Es un registro de demostración; la captura no muestra cómo se originó.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1C3B66"/>
          <w:sz w:val="26"/>
        </w:rPr>
        <w:t>ANEXO B2 · Comunicación RFID y validación de duplicados</w:t>
      </w:r>
    </w:p>
    <w:p>
      <w:pPr>
        <w:keepNext/>
        <w:spacing w:after="100"/>
      </w:pPr>
      <w:r>
        <w:rPr>
          <w:rFonts w:ascii="Calibri" w:hAnsi="Calibri"/>
          <w:color w:val="536276"/>
          <w:sz w:val="17"/>
        </w:rPr>
        <w:t>Evidencias capturadas de pruebas de integración y control de idempotencia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7043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 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7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Calibri" w:hAnsi="Calibri"/>
          <w:color w:val="414F62"/>
          <w:sz w:val="16"/>
        </w:rPr>
        <w:t>B2.1  Monitor serie: el ESP32 detecta la tarjeta de prueba (UID visible), prepara código de tótem y evento_id, envía JSON y obtiene HTTP 200 y respuesta del servidor. El mensaje visible comienza “El alumno ya…”, por lo que no se interpreta como alta nueva.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961120" cy="12449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24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Calibri" w:hAnsi="Calibri"/>
          <w:color w:val="414F62"/>
          <w:sz w:val="16"/>
        </w:rPr>
        <w:t>B2.2  Prueba aislada sobre COPIA DE PRUEBAS: la respuesta es «evento_repetido»; cantidad antes = 7 y después = 7. Esta salida respalda que el evento duplicado no añadió registros.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1C3B66"/>
          <w:sz w:val="26"/>
        </w:rPr>
        <w:t>ANEXO B3 · Montaje físico del prototipo ESP32 y lector PN532</w:t>
      </w:r>
    </w:p>
    <w:p>
      <w:pPr>
        <w:keepNext/>
        <w:spacing w:after="100"/>
      </w:pPr>
      <w:r>
        <w:rPr>
          <w:rFonts w:ascii="Calibri" w:hAnsi="Calibri"/>
          <w:color w:val="536276"/>
          <w:sz w:val="17"/>
        </w:rPr>
        <w:t>Fotografías del hardware, conexiones y presentación de una tarjeta de demostración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48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876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876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3 at 16.36.02(1)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481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414F62"/>
                <w:sz w:val="16"/>
              </w:rPr>
              <w:t>B3.1  Tarjeta de prueba acercada al lector; documenta el montaje, no la respuesta de la API.</w:t>
            </w:r>
          </w:p>
        </w:tc>
        <w:tc>
          <w:tcPr>
            <w:tcW w:type="dxa" w:w="7481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414F62"/>
                <w:sz w:val="16"/>
              </w:rPr>
              <w:t>B3.2  Vista del ESP32 encendido y del módulo PN532 conectado.</w:t>
            </w:r>
          </w:p>
        </w:tc>
      </w:tr>
    </w:tbl>
    <w:p>
      <w:pPr>
        <w:spacing w:before="0" w:after="100"/>
      </w:pPr>
      <w:r>
        <w:rPr>
          <w:rFonts w:ascii="Calibri" w:hAnsi="Calibri"/>
          <w:color w:val="414F62"/>
          <w:sz w:val="16"/>
        </w:rPr>
        <w:t>Alcance de las fotografías: muestran equipos físicos reales; la lectura y comunicación se respaldan por separado en el Anexo B2. Todas las referencias visibles de estudiante y UID corresponden a pruebas; no se publicaron RUT ni registros escolares reales.</w:t>
      </w:r>
    </w:p>
    <w:sectPr w:rsidR="0003309E" w:rsidRPr="0003309E">
      <w:headerReference w:type="default" r:id="rId13"/>
      <w:footerReference w:type="default" r:id="rId14"/>
      <w:pgSz w:w="16834" w:h="11909"/>
      <w:pgMar w:top="720" w:right="936" w:bottom="720" w:left="936" w:header="288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jpeg"/><Relationship Id="rId23" Type="http://schemas.openxmlformats.org/officeDocument/2006/relationships/image" Target="media/image10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2.4 - Desarrollo Proyecto APT - MPAZ RFID (Borrador)</dc:title>
  <dc:subject>Avance del Proyecto APT, para revisión sin anexos técnicos</dc:subject>
  <dc:creator>Equipo MPAZ RFID</dc:creator>
  <cp:keywords/>
  <dc:description>Borrador grupal para revisión académica. Diagramas de diseño y capturas de pruebas de demostración.</dc:description>
  <cp:lastModifiedBy>Equipo MPAZ RFID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