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Autoevaluación de avance · Fase 2</w:t>
      </w:r>
    </w:p>
    <w:p>
      <w:r>
        <w:rPr>
          <w:color w:val="586B7E"/>
          <w:sz w:val="18"/>
        </w:rPr>
        <w:t>Hoja de apoyo para Samantha Tapia  |  Proyecto Sistema MPAZ RFID  |  Semana 9</w:t>
      </w:r>
    </w:p>
    <w:p>
      <w:pPr>
        <w:spacing w:after="180"/>
      </w:pPr>
      <w:r>
        <w:t>Este documento ayuda a revisar los ocho indicadores de la pauta oficial 2.2, sin reemplazarla. Solo Samantha debe elegir el nivel de logro en la rúbrica de Duoc UC. Las afirmaciones a continuación son antecedentes disponibles del proyecto, no una certificación de resultados.</w:t>
      </w:r>
    </w:p>
    <w:p>
      <w:pPr>
        <w:pStyle w:val="Heading1"/>
      </w:pPr>
      <w:r>
        <w:t>IL 2.1 · Desarrollo del proyecto y evidencias</w:t>
      </w:r>
    </w:p>
    <w:p>
      <w:pPr>
        <w:pStyle w:val="Heading2"/>
      </w:pPr>
      <w:r>
        <w:t>1. Ajustes al Proyecto APT</w:t>
      </w:r>
      <w:r>
        <w:rPr>
          <w:i/>
        </w:rPr>
        <w:t xml:space="preserve">  ·  20 %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A"/>
          <w:left w:val="single" w:sz="5" w:color="D6E0EA"/>
          <w:bottom w:val="single" w:sz="5" w:color="D6E0EA"/>
          <w:right w:val="single" w:sz="5" w:color="D6E0EA"/>
          <w:insideH w:val="single" w:sz="5" w:color="D6E0EA"/>
          <w:insideV w:val="single" w:sz="5" w:color="D6E0EA"/>
        </w:tblBorders>
      </w:tblPr>
      <w:tblGrid>
        <w:gridCol w:w="1814"/>
        <w:gridCol w:w="7427"/>
      </w:tblGrid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Base disponible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En la Ficha 04 se priorizan la administración de tótems, la integración final y las pruebas en las semanas restantes. Existe una propuesta de ajustes a la planificación.</w:t>
            </w:r>
          </w:p>
        </w:tc>
      </w:tr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Por comprobar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Contrastar el plan anterior con los cambios reales y anotar la retroalimentación que haya entregado el docente; no atribuirle comentarios que no estén registrados.</w:t>
            </w:r>
          </w:p>
        </w:tc>
      </w:tr>
    </w:tbl>
    <w:p>
      <w:pPr>
        <w:spacing w:before="60"/>
      </w:pPr>
      <w:r>
        <w:rPr>
          <w:b/>
          <w:color w:val="134368"/>
          <w:sz w:val="18"/>
        </w:rPr>
        <w:t>Nivel que yo elegiré:  ☐ 100 %    ☐ 60 %    ☐ 30 %    ☐ 0 %</w:t>
      </w:r>
    </w:p>
    <w:p>
      <w:pPr>
        <w:pStyle w:val="Heading2"/>
      </w:pPr>
      <w:r>
        <w:t>2. Metodología de trabajo</w:t>
      </w:r>
      <w:r>
        <w:rPr>
          <w:i/>
        </w:rPr>
        <w:t xml:space="preserve">  ·  20 %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A"/>
          <w:left w:val="single" w:sz="5" w:color="D6E0EA"/>
          <w:bottom w:val="single" w:sz="5" w:color="D6E0EA"/>
          <w:right w:val="single" w:sz="5" w:color="D6E0EA"/>
          <w:insideH w:val="single" w:sz="5" w:color="D6E0EA"/>
          <w:insideV w:val="single" w:sz="5" w:color="D6E0EA"/>
        </w:tblBorders>
      </w:tblPr>
      <w:tblGrid>
        <w:gridCol w:w="1814"/>
        <w:gridCol w:w="7427"/>
      </w:tblGrid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Base disponible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Las Fichas 02 y 04 describen una metodología incremental: SQLite, API Flask, panel, RFID y seguimiento por iteraciones.</w:t>
            </w:r>
          </w:p>
        </w:tc>
      </w:tr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Por comprobar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Precisar qué objetivos del avance ya se demostraron y cuáles están parciales. Verificar fechas y responsables en las fichas.</w:t>
            </w:r>
          </w:p>
        </w:tc>
      </w:tr>
    </w:tbl>
    <w:p>
      <w:pPr>
        <w:spacing w:before="60"/>
      </w:pPr>
      <w:r>
        <w:rPr>
          <w:b/>
          <w:color w:val="134368"/>
          <w:sz w:val="18"/>
        </w:rPr>
        <w:t>Nivel que yo elegiré:  ☐ 100 %    ☐ 60 %    ☐ 30 %    ☐ 0 %</w:t>
      </w:r>
    </w:p>
    <w:p>
      <w:pPr>
        <w:pStyle w:val="Heading2"/>
      </w:pPr>
      <w:r>
        <w:t>3. Evidencias del avance</w:t>
      </w:r>
      <w:r>
        <w:rPr>
          <w:i/>
        </w:rPr>
        <w:t xml:space="preserve">  ·  25 %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A"/>
          <w:left w:val="single" w:sz="5" w:color="D6E0EA"/>
          <w:bottom w:val="single" w:sz="5" w:color="D6E0EA"/>
          <w:right w:val="single" w:sz="5" w:color="D6E0EA"/>
          <w:insideH w:val="single" w:sz="5" w:color="D6E0EA"/>
          <w:insideV w:val="single" w:sz="5" w:color="D6E0EA"/>
        </w:tblBorders>
      </w:tblPr>
      <w:tblGrid>
        <w:gridCol w:w="1814"/>
        <w:gridCol w:w="7427"/>
      </w:tblGrid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Base disponible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En GitHub existen las fichas de avance 02, 03 y 04. En la Ficha 04 se informa un 87,5 % de avance ponderado.</w:t>
            </w:r>
          </w:p>
        </w:tc>
      </w:tr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Por comprobar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Las fichas y el código no reemplazan pantallazos, casos de prueba ni demostraciones adjuntas. Ya existen seis imágenes de SQLite, comunicación ESP32–API, evento repetido y hardware; faltan interfaz, exportación, nueva asistencia correlacionada y piloto.</w:t>
            </w:r>
          </w:p>
        </w:tc>
      </w:tr>
    </w:tbl>
    <w:p>
      <w:pPr>
        <w:spacing w:before="60"/>
      </w:pPr>
      <w:r>
        <w:rPr>
          <w:b/>
          <w:color w:val="134368"/>
          <w:sz w:val="18"/>
        </w:rPr>
        <w:t>Nivel que yo elegiré:  ☐ 100 %    ☐ 60 %    ☐ 30 %    ☐ 0 %</w:t>
      </w:r>
    </w:p>
    <w:p>
      <w:pPr>
        <w:pStyle w:val="Heading2"/>
      </w:pPr>
      <w:r>
        <w:t>4. Lenguaje técnico preciso</w:t>
      </w:r>
      <w:r>
        <w:rPr>
          <w:i/>
        </w:rPr>
        <w:t xml:space="preserve">  ·  5 %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A"/>
          <w:left w:val="single" w:sz="5" w:color="D6E0EA"/>
          <w:bottom w:val="single" w:sz="5" w:color="D6E0EA"/>
          <w:right w:val="single" w:sz="5" w:color="D6E0EA"/>
          <w:insideH w:val="single" w:sz="5" w:color="D6E0EA"/>
          <w:insideV w:val="single" w:sz="5" w:color="D6E0EA"/>
        </w:tblBorders>
      </w:tblPr>
      <w:tblGrid>
        <w:gridCol w:w="1814"/>
        <w:gridCol w:w="7427"/>
      </w:tblGrid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Base disponible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Los documentos describen Flask, API HTTP, SQLite, UID, PN532, ESP32, autenticación e idempotencia mediante evento_id.</w:t>
            </w:r>
          </w:p>
        </w:tc>
      </w:tr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Por comprobar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Revisar que cada término esté empleado con precisión y que se describan solo funciones demostradas.</w:t>
            </w:r>
          </w:p>
        </w:tc>
      </w:tr>
    </w:tbl>
    <w:p>
      <w:pPr>
        <w:spacing w:before="60"/>
      </w:pPr>
      <w:r>
        <w:rPr>
          <w:b/>
          <w:color w:val="134368"/>
          <w:sz w:val="18"/>
        </w:rPr>
        <w:t>Nivel que yo elegiré:  ☐ 100 %    ☐ 60 %    ☐ 30 %    ☐ 0 %</w:t>
      </w:r>
    </w:p>
    <w:p>
      <w:r>
        <w:br w:type="page"/>
      </w:r>
    </w:p>
    <w:p>
      <w:pPr>
        <w:pStyle w:val="Title"/>
      </w:pPr>
      <w:r>
        <w:t>Continuación · Indicadores 5 a 8</w:t>
      </w:r>
    </w:p>
    <w:p>
      <w:r>
        <w:rPr>
          <w:color w:val="586B7E"/>
          <w:sz w:val="18"/>
        </w:rPr>
        <w:t>Autoevaluación 2.2  |  Material individual de trabajo</w:t>
      </w:r>
    </w:p>
    <w:p>
      <w:pPr>
        <w:pStyle w:val="Heading1"/>
      </w:pPr>
      <w:r>
        <w:t>IL 2.3 · Aspectos formales del informe</w:t>
      </w:r>
    </w:p>
    <w:p>
      <w:pPr>
        <w:pStyle w:val="Heading2"/>
      </w:pPr>
      <w:r>
        <w:t>5. Redacción, ortografía y referencias</w:t>
      </w:r>
      <w:r>
        <w:rPr>
          <w:i/>
        </w:rPr>
        <w:t xml:space="preserve">  ·  5 %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A"/>
          <w:left w:val="single" w:sz="5" w:color="D6E0EA"/>
          <w:bottom w:val="single" w:sz="5" w:color="D6E0EA"/>
          <w:right w:val="single" w:sz="5" w:color="D6E0EA"/>
          <w:insideH w:val="single" w:sz="5" w:color="D6E0EA"/>
          <w:insideV w:val="single" w:sz="5" w:color="D6E0EA"/>
        </w:tblBorders>
      </w:tblPr>
      <w:tblGrid>
        <w:gridCol w:w="1814"/>
        <w:gridCol w:w="7427"/>
      </w:tblGrid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Base disponible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La guía 2.4 dispone de una versión para revisión con anexos A1–A3 y B1–B3; conserva el borrador anterior como historial.</w:t>
            </w:r>
          </w:p>
        </w:tc>
      </w:tr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Por comprobar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Revisar ortografía, consistencia de redacción, fuentes y referencias; no asignar nivel máximo sin comprobar el informe completo.</w:t>
            </w:r>
          </w:p>
        </w:tc>
      </w:tr>
    </w:tbl>
    <w:p>
      <w:pPr>
        <w:spacing w:before="60"/>
      </w:pPr>
      <w:r>
        <w:rPr>
          <w:b/>
          <w:color w:val="134368"/>
          <w:sz w:val="18"/>
        </w:rPr>
        <w:t>Nivel que yo elegiré:  ☐ 100 %    ☐ 60 %    ☐ 30 %    ☐ 0 %</w:t>
      </w:r>
    </w:p>
    <w:p>
      <w:pPr>
        <w:pStyle w:val="Heading2"/>
      </w:pPr>
      <w:r>
        <w:t>6. Formato del informe de avance</w:t>
      </w:r>
      <w:r>
        <w:rPr>
          <w:i/>
        </w:rPr>
        <w:t xml:space="preserve">  ·  5 %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A"/>
          <w:left w:val="single" w:sz="5" w:color="D6E0EA"/>
          <w:bottom w:val="single" w:sz="5" w:color="D6E0EA"/>
          <w:right w:val="single" w:sz="5" w:color="D6E0EA"/>
          <w:insideH w:val="single" w:sz="5" w:color="D6E0EA"/>
          <w:insideV w:val="single" w:sz="5" w:color="D6E0EA"/>
        </w:tblBorders>
      </w:tblPr>
      <w:tblGrid>
        <w:gridCol w:w="1814"/>
        <w:gridCol w:w="7427"/>
      </w:tblGrid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Base disponible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El borrador 2.4 respeta la guía breve de Duoc UC: resumen, monitoreo del plan y ajustes.</w:t>
            </w:r>
          </w:p>
        </w:tc>
      </w:tr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Por comprobar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La pauta 2.2 también pide formato técnico con portada, índice, abstract, desarrollo, conclusiones y reflexión: confirmar cómo complementan la guía 2.4; la traducción completa optativa no exime por sí sola esos apartados.</w:t>
            </w:r>
          </w:p>
        </w:tc>
      </w:tr>
    </w:tbl>
    <w:p>
      <w:pPr>
        <w:spacing w:before="60"/>
      </w:pPr>
      <w:r>
        <w:rPr>
          <w:b/>
          <w:color w:val="134368"/>
          <w:sz w:val="18"/>
        </w:rPr>
        <w:t>Nivel que yo elegiré:  ☐ 100 %    ☐ 60 %    ☐ 30 %    ☐ 0 %</w:t>
      </w:r>
    </w:p>
    <w:p>
      <w:pPr>
        <w:pStyle w:val="Heading1"/>
      </w:pPr>
      <w:r>
        <w:t>IL 2.4 · Calidad y comunicación</w:t>
      </w:r>
    </w:p>
    <w:p>
      <w:pPr>
        <w:pStyle w:val="Heading2"/>
      </w:pPr>
      <w:r>
        <w:t>7. Calidad disciplinar del informe</w:t>
      </w:r>
      <w:r>
        <w:rPr>
          <w:i/>
        </w:rPr>
        <w:t xml:space="preserve">  ·  10 %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A"/>
          <w:left w:val="single" w:sz="5" w:color="D6E0EA"/>
          <w:bottom w:val="single" w:sz="5" w:color="D6E0EA"/>
          <w:right w:val="single" w:sz="5" w:color="D6E0EA"/>
          <w:insideH w:val="single" w:sz="5" w:color="D6E0EA"/>
          <w:insideV w:val="single" w:sz="5" w:color="D6E0EA"/>
        </w:tblBorders>
      </w:tblPr>
      <w:tblGrid>
        <w:gridCol w:w="1814"/>
        <w:gridCol w:w="7427"/>
      </w:tblGrid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Base disponible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Existen lógica de asistencias, modelo SQLite, endpoints de validación y documentación de seguimiento de versiones.</w:t>
            </w:r>
          </w:p>
        </w:tc>
      </w:tr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Por comprobar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Contrastar las competencias 1.1 a 4.3 con pruebas y registros concretos. Los aspectos de implantación integral y evidencia final continúan en revisión.</w:t>
            </w:r>
          </w:p>
        </w:tc>
      </w:tr>
    </w:tbl>
    <w:p>
      <w:pPr>
        <w:spacing w:before="60"/>
      </w:pPr>
      <w:r>
        <w:rPr>
          <w:b/>
          <w:color w:val="134368"/>
          <w:sz w:val="18"/>
        </w:rPr>
        <w:t>Nivel que yo elegiré:  ☐ 100 %    ☐ 60 %    ☐ 30 %    ☐ 0 %</w:t>
      </w:r>
    </w:p>
    <w:p>
      <w:pPr>
        <w:pStyle w:val="Heading2"/>
      </w:pPr>
      <w:r>
        <w:t>8. Comunicación escrita en inglés</w:t>
      </w:r>
      <w:r>
        <w:rPr>
          <w:i/>
        </w:rPr>
        <w:t xml:space="preserve">  ·  10 %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A"/>
          <w:left w:val="single" w:sz="5" w:color="D6E0EA"/>
          <w:bottom w:val="single" w:sz="5" w:color="D6E0EA"/>
          <w:right w:val="single" w:sz="5" w:color="D6E0EA"/>
          <w:insideH w:val="single" w:sz="5" w:color="D6E0EA"/>
          <w:insideV w:val="single" w:sz="5" w:color="D6E0EA"/>
        </w:tblBorders>
      </w:tblPr>
      <w:tblGrid>
        <w:gridCol w:w="1814"/>
        <w:gridCol w:w="7427"/>
      </w:tblGrid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Base disponible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La pauta solicita abstract en español e inglés, conclusiones individuales en inglés y reflexión en inglés.</w:t>
            </w:r>
          </w:p>
        </w:tc>
      </w:tr>
      <w:tr>
        <w:tc>
          <w:tcPr>
            <w:tcW w:type="dxa" w:w="1814"/>
            <w:vAlign w:val="center"/>
            <w:shd w:fill="EEF3F7"/>
          </w:tcPr>
          <w:p>
            <w:pPr>
              <w:spacing w:after="20"/>
            </w:pPr>
            <w:r>
              <w:rPr>
                <w:sz w:val="18"/>
              </w:rPr>
              <w:t>Por comprobar</w:t>
            </w:r>
          </w:p>
        </w:tc>
        <w:tc>
          <w:tcPr>
            <w:tcW w:type="dxa" w:w="7427"/>
            <w:vAlign w:val="center"/>
          </w:tcPr>
          <w:p>
            <w:pPr>
              <w:spacing w:after="20"/>
            </w:pPr>
            <w:r>
              <w:rPr>
                <w:sz w:val="18"/>
              </w:rPr>
              <w:t>Verificar si esos apartados existen realmente y su calidad lingüística. Si no están preparados, reconocerlo antes de seleccionar el nivel correspondiente.</w:t>
            </w:r>
          </w:p>
        </w:tc>
      </w:tr>
    </w:tbl>
    <w:p>
      <w:pPr>
        <w:spacing w:before="60"/>
      </w:pPr>
      <w:r>
        <w:rPr>
          <w:b/>
          <w:color w:val="134368"/>
          <w:sz w:val="18"/>
        </w:rPr>
        <w:t>Nivel que yo elegiré:  ☐ 100 %    ☐ 60 %    ☐ 30 %    ☐ 0 %</w:t>
      </w:r>
    </w:p>
    <w:p>
      <w:pPr>
        <w:pStyle w:val="Heading1"/>
      </w:pPr>
      <w:r>
        <w:t>Antes de entregar la pauta oficial</w:t>
      </w:r>
    </w:p>
    <w:p>
      <w:pPr>
        <w:pStyle w:val="ListBullet"/>
      </w:pPr>
      <w:r>
        <w:rPr>
          <w:sz w:val="18"/>
        </w:rPr>
        <w:t>Leer el descriptor correspondiente a cada nivel y marcar una sola opción por indicador en el formulario 2.2 original.</w:t>
      </w:r>
    </w:p>
    <w:p>
      <w:pPr>
        <w:pStyle w:val="ListBullet"/>
      </w:pPr>
      <w:r>
        <w:rPr>
          <w:sz w:val="18"/>
        </w:rPr>
        <w:t>Revisar si el informe 2.4 incorpora efectivamente los anexos; ya incluye evidencias parciales en B1–B3; las pruebas de cierre siguen pendientes.</w:t>
      </w:r>
    </w:p>
    <w:p>
      <w:pPr>
        <w:pStyle w:val="ListBullet"/>
      </w:pPr>
      <w:r>
        <w:rPr>
          <w:sz w:val="18"/>
        </w:rPr>
        <w:t>Distinguir las estimaciones de la Ficha 04 de pruebas verificadas, y confirmar los responsables del trabajo con Lucas.</w:t>
      </w:r>
    </w:p>
    <w:p>
      <w:pPr>
        <w:pStyle w:val="ListBullet"/>
      </w:pPr>
      <w:r>
        <w:rPr>
          <w:sz w:val="18"/>
        </w:rPr>
        <w:t>Conservar el documento 2.2 en la carpeta individual de Samantha solo después de completar personalmente su valoración.</w:t>
      </w:r>
    </w:p>
    <w:sectPr w:rsidR="00FC693F" w:rsidRPr="0006063C" w:rsidSect="00034616">
      <w:footerReference w:type="default" r:id="rId9"/>
      <w:pgSz w:w="12240" w:h="15840"/>
      <w:pgMar w:top="935" w:right="1077" w:bottom="879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C"/>
        <w:sz w:val="16"/>
      </w:rPr>
      <w:t>MPAZ RFID  ·  Capstone PTY4614  ·  Material personal de apoyo, no evaluado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833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4436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436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22D5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apoyo — Autoevaluación Informe de Avance Fase 2</dc:title>
  <dc:subject>Sistema MPAZ RFID · Capstone APT122/PTy4614</dc:subject>
  <dc:creator/>
  <cp:keywords/>
  <dc:description>Borrador sin calificaciones ni marcas de autoevaluación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