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44B4E" w14:textId="77777777" w:rsidR="00C468DD" w:rsidRPr="00BD3935" w:rsidRDefault="00C468DD"/>
    <w:p w14:paraId="34C416B5" w14:textId="1F380C7E" w:rsidR="004372F7" w:rsidRPr="00BD3935" w:rsidRDefault="00087850" w:rsidP="00087850">
      <w:pPr>
        <w:spacing w:line="360" w:lineRule="auto"/>
        <w:jc w:val="both"/>
        <w:rPr>
          <w:rFonts w:ascii="Times New Roman" w:eastAsia="Calibri" w:hAnsi="Times New Roman" w:cs="Times New Roman"/>
          <w:b/>
          <w:kern w:val="0"/>
          <w:sz w:val="24"/>
          <w14:ligatures w14:val="none"/>
        </w:rPr>
      </w:pPr>
      <w:r w:rsidRPr="00BD3935">
        <w:rPr>
          <w:rFonts w:ascii="Times New Roman" w:eastAsia="Calibri" w:hAnsi="Times New Roman" w:cs="Times New Roman"/>
          <w:b/>
          <w:kern w:val="0"/>
          <w:sz w:val="24"/>
          <w14:ligatures w14:val="none"/>
        </w:rPr>
        <w:t xml:space="preserve">Estimation of soil organic carbon dynamics as driven by land use in </w:t>
      </w:r>
      <w:r w:rsidR="00A00510" w:rsidRPr="00BD3935">
        <w:rPr>
          <w:rFonts w:ascii="Times New Roman" w:eastAsia="Calibri" w:hAnsi="Times New Roman" w:cs="Times New Roman"/>
          <w:b/>
          <w:kern w:val="0"/>
          <w:sz w:val="24"/>
          <w14:ligatures w14:val="none"/>
        </w:rPr>
        <w:t>the State of Mato Gross</w:t>
      </w:r>
      <w:r w:rsidR="005E2164" w:rsidRPr="00BD3935">
        <w:rPr>
          <w:rFonts w:ascii="Times New Roman" w:eastAsia="Calibri" w:hAnsi="Times New Roman" w:cs="Times New Roman"/>
          <w:b/>
          <w:kern w:val="0"/>
          <w:sz w:val="24"/>
          <w14:ligatures w14:val="none"/>
        </w:rPr>
        <w:t>o</w:t>
      </w:r>
      <w:r w:rsidRPr="00BD3935">
        <w:rPr>
          <w:rFonts w:ascii="Times New Roman" w:eastAsia="Calibri" w:hAnsi="Times New Roman" w:cs="Times New Roman"/>
          <w:b/>
          <w:kern w:val="0"/>
          <w:sz w:val="24"/>
          <w14:ligatures w14:val="none"/>
        </w:rPr>
        <w:t xml:space="preserve">, Brazil: </w:t>
      </w:r>
      <w:r w:rsidR="007C2411" w:rsidRPr="00BD3935">
        <w:rPr>
          <w:rFonts w:ascii="Times New Roman" w:eastAsia="Calibri" w:hAnsi="Times New Roman" w:cs="Times New Roman"/>
          <w:b/>
          <w:kern w:val="0"/>
          <w:sz w:val="24"/>
          <w14:ligatures w14:val="none"/>
        </w:rPr>
        <w:t>the</w:t>
      </w:r>
      <w:r w:rsidRPr="00BD3935">
        <w:rPr>
          <w:rFonts w:ascii="Times New Roman" w:eastAsia="Calibri" w:hAnsi="Times New Roman" w:cs="Times New Roman"/>
          <w:b/>
          <w:kern w:val="0"/>
          <w:sz w:val="24"/>
          <w14:ligatures w14:val="none"/>
        </w:rPr>
        <w:t xml:space="preserve"> </w:t>
      </w:r>
      <w:r w:rsidR="007C2411" w:rsidRPr="00BD3935">
        <w:rPr>
          <w:rFonts w:ascii="Times New Roman" w:eastAsia="Calibri" w:hAnsi="Times New Roman" w:cs="Times New Roman"/>
          <w:b/>
          <w:kern w:val="0"/>
          <w:sz w:val="24"/>
          <w14:ligatures w14:val="none"/>
        </w:rPr>
        <w:t xml:space="preserve">machine learning and geostatistical </w:t>
      </w:r>
      <w:r w:rsidRPr="00BD3935">
        <w:rPr>
          <w:rFonts w:ascii="Times New Roman" w:eastAsia="Calibri" w:hAnsi="Times New Roman" w:cs="Times New Roman"/>
          <w:b/>
          <w:kern w:val="0"/>
          <w:sz w:val="24"/>
          <w14:ligatures w14:val="none"/>
        </w:rPr>
        <w:t>approach</w:t>
      </w:r>
      <w:r w:rsidR="007C2411" w:rsidRPr="00BD3935">
        <w:rPr>
          <w:rFonts w:ascii="Times New Roman" w:eastAsia="Calibri" w:hAnsi="Times New Roman" w:cs="Times New Roman"/>
          <w:b/>
          <w:kern w:val="0"/>
          <w:sz w:val="24"/>
          <w14:ligatures w14:val="none"/>
        </w:rPr>
        <w:t>es</w:t>
      </w:r>
    </w:p>
    <w:p w14:paraId="6597A71B" w14:textId="77777777" w:rsidR="00752AA9" w:rsidRPr="00BD3935" w:rsidRDefault="00752AA9" w:rsidP="000E6632">
      <w:pPr>
        <w:spacing w:line="360" w:lineRule="auto"/>
        <w:jc w:val="both"/>
        <w:rPr>
          <w:rFonts w:ascii="Times New Roman" w:eastAsia="Calibri" w:hAnsi="Times New Roman" w:cs="Times New Roman"/>
          <w:b/>
          <w:kern w:val="0"/>
          <w:sz w:val="24"/>
          <w14:ligatures w14:val="none"/>
        </w:rPr>
      </w:pPr>
    </w:p>
    <w:p w14:paraId="67F0D181" w14:textId="4A72E4E6" w:rsidR="00087850" w:rsidRPr="00BD3935" w:rsidRDefault="008710DA" w:rsidP="00087850">
      <w:pPr>
        <w:spacing w:line="360" w:lineRule="auto"/>
        <w:jc w:val="both"/>
        <w:rPr>
          <w:rFonts w:ascii="Times New Roman" w:eastAsia="Calibri" w:hAnsi="Times New Roman" w:cs="Times New Roman"/>
          <w:b/>
          <w:kern w:val="0"/>
          <w:sz w:val="24"/>
          <w14:ligatures w14:val="none"/>
        </w:rPr>
      </w:pPr>
      <w:r w:rsidRPr="00BD3935">
        <w:rPr>
          <w:rFonts w:ascii="Times New Roman" w:eastAsia="Calibri" w:hAnsi="Times New Roman" w:cs="Times New Roman"/>
          <w:b/>
          <w:kern w:val="0"/>
          <w:sz w:val="24"/>
          <w14:ligatures w14:val="none"/>
        </w:rPr>
        <w:t>Abstract</w:t>
      </w:r>
    </w:p>
    <w:p w14:paraId="1EBF2D8E" w14:textId="736D9AC0" w:rsidR="008710DA" w:rsidRPr="00BD3935" w:rsidRDefault="00AD31FE" w:rsidP="00BB23A6">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 xml:space="preserve">To address national and global demand for agro-based products, agricultural expansion has rapidly become a norm in Brazil, thus placing the country among the top producers and exporters of agricultural products. This paradigm shift in farming system has brought significant changes in land use which consequently affects the soil system such as soil organic carbon (SOC) especially in the State of Mato Grosso being </w:t>
      </w:r>
      <w:r w:rsidR="00C7194A" w:rsidRPr="00BD3935">
        <w:rPr>
          <w:rFonts w:ascii="Times New Roman" w:eastAsia="Calibri" w:hAnsi="Times New Roman" w:cs="Times New Roman"/>
          <w:bCs/>
          <w:kern w:val="0"/>
          <w:sz w:val="24"/>
          <w14:ligatures w14:val="none"/>
        </w:rPr>
        <w:t xml:space="preserve">one of </w:t>
      </w:r>
      <w:r w:rsidRPr="00BD3935">
        <w:rPr>
          <w:rFonts w:ascii="Times New Roman" w:eastAsia="Calibri" w:hAnsi="Times New Roman" w:cs="Times New Roman"/>
          <w:bCs/>
          <w:kern w:val="0"/>
          <w:sz w:val="24"/>
          <w14:ligatures w14:val="none"/>
        </w:rPr>
        <w:t>the most producer</w:t>
      </w:r>
      <w:r w:rsidR="00C7194A" w:rsidRPr="00BD3935">
        <w:rPr>
          <w:rFonts w:ascii="Times New Roman" w:eastAsia="Calibri" w:hAnsi="Times New Roman" w:cs="Times New Roman"/>
          <w:bCs/>
          <w:kern w:val="0"/>
          <w:sz w:val="24"/>
          <w14:ligatures w14:val="none"/>
        </w:rPr>
        <w:t>s</w:t>
      </w:r>
      <w:r w:rsidRPr="00BD3935">
        <w:rPr>
          <w:rFonts w:ascii="Times New Roman" w:eastAsia="Calibri" w:hAnsi="Times New Roman" w:cs="Times New Roman"/>
          <w:bCs/>
          <w:kern w:val="0"/>
          <w:sz w:val="24"/>
          <w14:ligatures w14:val="none"/>
        </w:rPr>
        <w:t xml:space="preserve"> of the agricultural produce in the country. </w:t>
      </w:r>
      <w:r w:rsidR="00A00510" w:rsidRPr="00BD3935">
        <w:rPr>
          <w:rFonts w:ascii="Times New Roman" w:eastAsia="Calibri" w:hAnsi="Times New Roman" w:cs="Times New Roman"/>
          <w:bCs/>
          <w:kern w:val="0"/>
          <w:sz w:val="24"/>
          <w14:ligatures w14:val="none"/>
        </w:rPr>
        <w:t>By applying MLA and geostatistical techniques t</w:t>
      </w:r>
      <w:r w:rsidR="00AC01C2" w:rsidRPr="00BD3935">
        <w:rPr>
          <w:rFonts w:ascii="Times New Roman" w:eastAsia="Calibri" w:hAnsi="Times New Roman" w:cs="Times New Roman"/>
          <w:bCs/>
          <w:kern w:val="0"/>
          <w:sz w:val="24"/>
          <w14:ligatures w14:val="none"/>
        </w:rPr>
        <w:t xml:space="preserve">his work </w:t>
      </w:r>
      <w:r w:rsidR="00A00510" w:rsidRPr="00BD3935">
        <w:rPr>
          <w:rFonts w:ascii="Times New Roman" w:eastAsia="Calibri" w:hAnsi="Times New Roman" w:cs="Times New Roman"/>
          <w:bCs/>
          <w:kern w:val="0"/>
          <w:sz w:val="24"/>
          <w14:ligatures w14:val="none"/>
        </w:rPr>
        <w:t xml:space="preserve">aimed to unveil the nexus between long term changes in land use and changes in SOC stocks in </w:t>
      </w:r>
      <w:r w:rsidR="008E0481" w:rsidRPr="00BD3935">
        <w:rPr>
          <w:rFonts w:ascii="Times New Roman" w:eastAsia="Calibri" w:hAnsi="Times New Roman" w:cs="Times New Roman"/>
          <w:bCs/>
          <w:kern w:val="0"/>
          <w:sz w:val="24"/>
          <w14:ligatures w14:val="none"/>
        </w:rPr>
        <w:t>Mato Grosso</w:t>
      </w:r>
      <w:r w:rsidR="00C7194A" w:rsidRPr="00BD3935">
        <w:rPr>
          <w:rFonts w:ascii="Times New Roman" w:eastAsia="Calibri" w:hAnsi="Times New Roman" w:cs="Times New Roman"/>
          <w:bCs/>
          <w:kern w:val="0"/>
          <w:sz w:val="24"/>
          <w14:ligatures w14:val="none"/>
        </w:rPr>
        <w:t xml:space="preserve"> State of </w:t>
      </w:r>
      <w:r w:rsidR="00A00510" w:rsidRPr="00BD3935">
        <w:rPr>
          <w:rFonts w:ascii="Times New Roman" w:eastAsia="Calibri" w:hAnsi="Times New Roman" w:cs="Times New Roman"/>
          <w:bCs/>
          <w:kern w:val="0"/>
          <w:sz w:val="24"/>
          <w14:ligatures w14:val="none"/>
        </w:rPr>
        <w:t>Brazil.</w:t>
      </w:r>
      <w:r w:rsidR="00016E0C" w:rsidRPr="00BD3935">
        <w:rPr>
          <w:rFonts w:ascii="Times New Roman" w:eastAsia="Calibri" w:hAnsi="Times New Roman" w:cs="Times New Roman"/>
          <w:bCs/>
          <w:kern w:val="0"/>
          <w:sz w:val="24"/>
          <w14:ligatures w14:val="none"/>
        </w:rPr>
        <w:t xml:space="preserve"> The study revealed that between 2020 and 2050</w:t>
      </w:r>
      <w:r w:rsidR="00C7194A" w:rsidRPr="00BD3935">
        <w:rPr>
          <w:rFonts w:ascii="Times New Roman" w:eastAsia="Calibri" w:hAnsi="Times New Roman" w:cs="Times New Roman"/>
          <w:bCs/>
          <w:kern w:val="0"/>
          <w:sz w:val="24"/>
          <w14:ligatures w14:val="none"/>
        </w:rPr>
        <w:t>,</w:t>
      </w:r>
      <w:r w:rsidR="00016E0C" w:rsidRPr="00BD3935">
        <w:rPr>
          <w:rFonts w:ascii="Times New Roman" w:eastAsia="Calibri" w:hAnsi="Times New Roman" w:cs="Times New Roman"/>
          <w:bCs/>
          <w:kern w:val="0"/>
          <w:sz w:val="24"/>
          <w14:ligatures w14:val="none"/>
        </w:rPr>
        <w:t xml:space="preserve"> croplands increased by 77.6%, pastures decreased</w:t>
      </w:r>
      <w:r w:rsidR="00C7194A" w:rsidRPr="00BD3935">
        <w:rPr>
          <w:rFonts w:ascii="Times New Roman" w:eastAsia="Calibri" w:hAnsi="Times New Roman" w:cs="Times New Roman"/>
          <w:bCs/>
          <w:kern w:val="0"/>
          <w:sz w:val="24"/>
          <w14:ligatures w14:val="none"/>
        </w:rPr>
        <w:t xml:space="preserve"> by</w:t>
      </w:r>
      <w:r w:rsidR="00016E0C" w:rsidRPr="00BD3935">
        <w:rPr>
          <w:rFonts w:ascii="Times New Roman" w:eastAsia="Calibri" w:hAnsi="Times New Roman" w:cs="Times New Roman"/>
          <w:bCs/>
          <w:kern w:val="0"/>
          <w:sz w:val="24"/>
          <w14:ligatures w14:val="none"/>
        </w:rPr>
        <w:t xml:space="preserve"> 31.6%, while forests decreased by 4.5%. On the other hand, in 2020, the SOC stocks range between 0 to 147.34 Mg ha</w:t>
      </w:r>
      <w:r w:rsidR="00016E0C" w:rsidRPr="00BD3935">
        <w:rPr>
          <w:rFonts w:ascii="Times New Roman" w:eastAsia="Calibri" w:hAnsi="Times New Roman" w:cs="Times New Roman"/>
          <w:bCs/>
          <w:kern w:val="0"/>
          <w:sz w:val="24"/>
          <w:vertAlign w:val="superscript"/>
          <w14:ligatures w14:val="none"/>
        </w:rPr>
        <w:t>-1</w:t>
      </w:r>
      <w:r w:rsidR="00016E0C" w:rsidRPr="00BD3935">
        <w:rPr>
          <w:rFonts w:ascii="Times New Roman" w:eastAsia="Calibri" w:hAnsi="Times New Roman" w:cs="Times New Roman"/>
          <w:bCs/>
          <w:kern w:val="0"/>
          <w:sz w:val="24"/>
          <w14:ligatures w14:val="none"/>
        </w:rPr>
        <w:t xml:space="preserve"> with very high estimated increase values in 2050, and this increase were predominantly found in the croplands.</w:t>
      </w:r>
      <w:r w:rsidR="00BB23A6" w:rsidRPr="00BD3935">
        <w:rPr>
          <w:rFonts w:ascii="Times New Roman" w:eastAsia="Calibri" w:hAnsi="Times New Roman" w:cs="Times New Roman"/>
          <w:bCs/>
          <w:kern w:val="0"/>
          <w:sz w:val="24"/>
          <w14:ligatures w14:val="none"/>
        </w:rPr>
        <w:t xml:space="preserve"> Climate-smart agriculture (e.g., crop-livestock forest,</w:t>
      </w:r>
      <w:r w:rsidR="00C7194A" w:rsidRPr="00BD3935">
        <w:rPr>
          <w:rFonts w:ascii="Times New Roman" w:eastAsia="Calibri" w:hAnsi="Times New Roman" w:cs="Times New Roman"/>
          <w:bCs/>
          <w:kern w:val="0"/>
          <w:sz w:val="24"/>
          <w14:ligatures w14:val="none"/>
        </w:rPr>
        <w:t xml:space="preserve"> integrated crop-livestock,</w:t>
      </w:r>
      <w:r w:rsidR="00BB23A6" w:rsidRPr="00BD3935">
        <w:rPr>
          <w:rFonts w:ascii="Times New Roman" w:eastAsia="Calibri" w:hAnsi="Times New Roman" w:cs="Times New Roman"/>
          <w:bCs/>
          <w:kern w:val="0"/>
          <w:sz w:val="24"/>
          <w14:ligatures w14:val="none"/>
        </w:rPr>
        <w:t xml:space="preserve"> and other conservation agricultural practices</w:t>
      </w:r>
      <w:r w:rsidR="00C7194A" w:rsidRPr="00BD3935">
        <w:rPr>
          <w:rFonts w:ascii="Times New Roman" w:eastAsia="Calibri" w:hAnsi="Times New Roman" w:cs="Times New Roman"/>
          <w:bCs/>
          <w:kern w:val="0"/>
          <w:sz w:val="24"/>
          <w14:ligatures w14:val="none"/>
        </w:rPr>
        <w:t>)</w:t>
      </w:r>
      <w:r w:rsidR="00BB23A6" w:rsidRPr="00BD3935">
        <w:rPr>
          <w:rFonts w:ascii="Times New Roman" w:eastAsia="Calibri" w:hAnsi="Times New Roman" w:cs="Times New Roman"/>
          <w:bCs/>
          <w:kern w:val="0"/>
          <w:sz w:val="24"/>
          <w14:ligatures w14:val="none"/>
        </w:rPr>
        <w:t xml:space="preserve"> in </w:t>
      </w:r>
      <w:r w:rsidR="00C7194A" w:rsidRPr="00BD3935">
        <w:rPr>
          <w:rFonts w:ascii="Times New Roman" w:eastAsia="Calibri" w:hAnsi="Times New Roman" w:cs="Times New Roman"/>
          <w:bCs/>
          <w:kern w:val="0"/>
          <w:sz w:val="24"/>
          <w14:ligatures w14:val="none"/>
        </w:rPr>
        <w:t>the</w:t>
      </w:r>
      <w:r w:rsidR="00BB23A6" w:rsidRPr="00BD3935">
        <w:rPr>
          <w:rFonts w:ascii="Times New Roman" w:eastAsia="Calibri" w:hAnsi="Times New Roman" w:cs="Times New Roman"/>
          <w:bCs/>
          <w:kern w:val="0"/>
          <w:sz w:val="24"/>
          <w14:ligatures w14:val="none"/>
        </w:rPr>
        <w:t xml:space="preserve"> </w:t>
      </w:r>
      <w:r w:rsidR="00C7194A" w:rsidRPr="00BD3935">
        <w:rPr>
          <w:rFonts w:ascii="Times New Roman" w:eastAsia="Calibri" w:hAnsi="Times New Roman" w:cs="Times New Roman"/>
          <w:bCs/>
          <w:kern w:val="0"/>
          <w:sz w:val="24"/>
          <w14:ligatures w14:val="none"/>
        </w:rPr>
        <w:t xml:space="preserve">State </w:t>
      </w:r>
      <w:r w:rsidR="00BB23A6" w:rsidRPr="00BD3935">
        <w:rPr>
          <w:rFonts w:ascii="Times New Roman" w:eastAsia="Calibri" w:hAnsi="Times New Roman" w:cs="Times New Roman"/>
          <w:bCs/>
          <w:kern w:val="0"/>
          <w:sz w:val="24"/>
          <w14:ligatures w14:val="none"/>
        </w:rPr>
        <w:t xml:space="preserve">have great potential to contribute to sustainable development of </w:t>
      </w:r>
      <w:r w:rsidR="008E0481" w:rsidRPr="00BD3935">
        <w:rPr>
          <w:rFonts w:ascii="Times New Roman" w:eastAsia="Calibri" w:hAnsi="Times New Roman" w:cs="Times New Roman"/>
          <w:bCs/>
          <w:kern w:val="0"/>
          <w:sz w:val="24"/>
          <w14:ligatures w14:val="none"/>
        </w:rPr>
        <w:t>Mato Grosso</w:t>
      </w:r>
      <w:r w:rsidR="00BB23A6" w:rsidRPr="00BD3935">
        <w:rPr>
          <w:rFonts w:ascii="Times New Roman" w:eastAsia="Calibri" w:hAnsi="Times New Roman" w:cs="Times New Roman"/>
          <w:bCs/>
          <w:kern w:val="0"/>
          <w:sz w:val="24"/>
          <w14:ligatures w14:val="none"/>
        </w:rPr>
        <w:t xml:space="preserve">, Brazil, and other regions. Therefore, agricultural policies geared towards low carbon agriculture should be </w:t>
      </w:r>
      <w:r w:rsidR="002334A6" w:rsidRPr="00BD3935">
        <w:rPr>
          <w:rFonts w:ascii="Times New Roman" w:eastAsia="Calibri" w:hAnsi="Times New Roman" w:cs="Times New Roman"/>
          <w:bCs/>
          <w:kern w:val="0"/>
          <w:sz w:val="24"/>
          <w14:ligatures w14:val="none"/>
        </w:rPr>
        <w:t xml:space="preserve">fully </w:t>
      </w:r>
      <w:r w:rsidR="00BB23A6" w:rsidRPr="00BD3935">
        <w:rPr>
          <w:rFonts w:ascii="Times New Roman" w:eastAsia="Calibri" w:hAnsi="Times New Roman" w:cs="Times New Roman"/>
          <w:bCs/>
          <w:kern w:val="0"/>
          <w:sz w:val="24"/>
          <w14:ligatures w14:val="none"/>
        </w:rPr>
        <w:t xml:space="preserve">integrated into the </w:t>
      </w:r>
      <w:r w:rsidR="002334A6" w:rsidRPr="00BD3935">
        <w:rPr>
          <w:rFonts w:ascii="Times New Roman" w:eastAsia="Calibri" w:hAnsi="Times New Roman" w:cs="Times New Roman"/>
          <w:bCs/>
          <w:kern w:val="0"/>
          <w:sz w:val="24"/>
          <w14:ligatures w14:val="none"/>
        </w:rPr>
        <w:t xml:space="preserve">various </w:t>
      </w:r>
      <w:r w:rsidR="00BB23A6" w:rsidRPr="00BD3935">
        <w:rPr>
          <w:rFonts w:ascii="Times New Roman" w:eastAsia="Calibri" w:hAnsi="Times New Roman" w:cs="Times New Roman"/>
          <w:bCs/>
          <w:kern w:val="0"/>
          <w:sz w:val="24"/>
          <w14:ligatures w14:val="none"/>
        </w:rPr>
        <w:t>governments decision making process</w:t>
      </w:r>
      <w:r w:rsidR="002334A6" w:rsidRPr="00BD3935">
        <w:rPr>
          <w:rFonts w:ascii="Times New Roman" w:eastAsia="Calibri" w:hAnsi="Times New Roman" w:cs="Times New Roman"/>
          <w:bCs/>
          <w:kern w:val="0"/>
          <w:sz w:val="24"/>
          <w14:ligatures w14:val="none"/>
        </w:rPr>
        <w:t xml:space="preserve"> as this will guarantee food security, and in the long run mitigate climate change by </w:t>
      </w:r>
      <w:r w:rsidR="008E0481" w:rsidRPr="00BD3935">
        <w:rPr>
          <w:rFonts w:ascii="Times New Roman" w:eastAsia="Calibri" w:hAnsi="Times New Roman" w:cs="Times New Roman"/>
          <w:bCs/>
          <w:kern w:val="0"/>
          <w:sz w:val="24"/>
          <w14:ligatures w14:val="none"/>
        </w:rPr>
        <w:t xml:space="preserve">sinking </w:t>
      </w:r>
      <w:r w:rsidR="00C7194A" w:rsidRPr="00BD3935">
        <w:rPr>
          <w:rFonts w:ascii="Times New Roman" w:eastAsia="Calibri" w:hAnsi="Times New Roman" w:cs="Times New Roman"/>
          <w:bCs/>
          <w:kern w:val="0"/>
          <w:sz w:val="24"/>
          <w14:ligatures w14:val="none"/>
        </w:rPr>
        <w:t xml:space="preserve">excess atmospheric </w:t>
      </w:r>
      <w:r w:rsidR="007F38CC" w:rsidRPr="00BD3935">
        <w:rPr>
          <w:rFonts w:ascii="Times New Roman" w:eastAsia="Calibri" w:hAnsi="Times New Roman" w:cs="Times New Roman"/>
          <w:bCs/>
          <w:kern w:val="0"/>
          <w:sz w:val="24"/>
          <w14:ligatures w14:val="none"/>
        </w:rPr>
        <w:t>CO</w:t>
      </w:r>
      <w:r w:rsidR="007F38CC" w:rsidRPr="00BD3935">
        <w:rPr>
          <w:rFonts w:ascii="Times New Roman" w:eastAsia="Calibri" w:hAnsi="Times New Roman" w:cs="Times New Roman"/>
          <w:bCs/>
          <w:kern w:val="0"/>
          <w:sz w:val="24"/>
          <w:vertAlign w:val="subscript"/>
          <w14:ligatures w14:val="none"/>
        </w:rPr>
        <w:t>2</w:t>
      </w:r>
      <w:r w:rsidR="007F38CC" w:rsidRPr="00BD3935">
        <w:rPr>
          <w:rFonts w:ascii="Times New Roman" w:eastAsia="Calibri" w:hAnsi="Times New Roman" w:cs="Times New Roman"/>
          <w:bCs/>
          <w:kern w:val="0"/>
          <w:sz w:val="24"/>
          <w14:ligatures w14:val="none"/>
        </w:rPr>
        <w:t xml:space="preserve"> and</w:t>
      </w:r>
      <w:r w:rsidR="008E0481" w:rsidRPr="00BD3935">
        <w:rPr>
          <w:rFonts w:ascii="Times New Roman" w:eastAsia="Calibri" w:hAnsi="Times New Roman" w:cs="Times New Roman"/>
          <w:bCs/>
          <w:kern w:val="0"/>
          <w:sz w:val="24"/>
          <w14:ligatures w14:val="none"/>
        </w:rPr>
        <w:t xml:space="preserve"> sequestrating it in the soil as </w:t>
      </w:r>
      <w:r w:rsidR="002334A6" w:rsidRPr="00BD3935">
        <w:rPr>
          <w:rFonts w:ascii="Times New Roman" w:eastAsia="Calibri" w:hAnsi="Times New Roman" w:cs="Times New Roman"/>
          <w:bCs/>
          <w:kern w:val="0"/>
          <w:sz w:val="24"/>
          <w14:ligatures w14:val="none"/>
        </w:rPr>
        <w:t>SOC stocks.</w:t>
      </w:r>
      <w:r w:rsidR="008E0481" w:rsidRPr="00BD3935">
        <w:rPr>
          <w:rFonts w:ascii="Times New Roman" w:eastAsia="Calibri" w:hAnsi="Times New Roman" w:cs="Times New Roman"/>
          <w:bCs/>
          <w:kern w:val="0"/>
          <w:sz w:val="24"/>
          <w14:ligatures w14:val="none"/>
        </w:rPr>
        <w:t xml:space="preserve">  </w:t>
      </w:r>
    </w:p>
    <w:p w14:paraId="100B2A0E" w14:textId="4F762CB2" w:rsidR="00870AAA" w:rsidRPr="00BD3935" w:rsidRDefault="00870AAA" w:rsidP="00BB23A6">
      <w:pPr>
        <w:spacing w:line="360" w:lineRule="auto"/>
        <w:jc w:val="both"/>
        <w:rPr>
          <w:rFonts w:ascii="Times New Roman" w:eastAsia="Calibri" w:hAnsi="Times New Roman" w:cs="Times New Roman"/>
          <w:bCs/>
          <w:kern w:val="0"/>
          <w:sz w:val="24"/>
          <w14:ligatures w14:val="none"/>
        </w:rPr>
      </w:pPr>
      <w:bookmarkStart w:id="0" w:name="_Hlk162197013"/>
      <w:r w:rsidRPr="00BD3935">
        <w:rPr>
          <w:rFonts w:ascii="Times New Roman" w:eastAsia="Calibri" w:hAnsi="Times New Roman" w:cs="Times New Roman"/>
          <w:b/>
          <w:kern w:val="0"/>
          <w:sz w:val="24"/>
          <w14:ligatures w14:val="none"/>
        </w:rPr>
        <w:t>Keywords</w:t>
      </w:r>
      <w:r w:rsidRPr="00BD3935">
        <w:rPr>
          <w:rFonts w:ascii="Times New Roman" w:eastAsia="Calibri" w:hAnsi="Times New Roman" w:cs="Times New Roman"/>
          <w:bCs/>
          <w:kern w:val="0"/>
          <w:sz w:val="24"/>
          <w14:ligatures w14:val="none"/>
        </w:rPr>
        <w:t>: Integrated agricultural systems, Climate-smart agriculture, Carbon sequestration, Croplands, Soybeans, food security</w:t>
      </w:r>
    </w:p>
    <w:bookmarkEnd w:id="0"/>
    <w:p w14:paraId="13F6DAD4" w14:textId="77777777" w:rsidR="00170EAD" w:rsidRPr="00BD3935" w:rsidRDefault="00170EAD" w:rsidP="006F608F">
      <w:pPr>
        <w:spacing w:line="360" w:lineRule="auto"/>
        <w:jc w:val="both"/>
        <w:rPr>
          <w:rFonts w:ascii="Times New Roman" w:eastAsia="Calibri" w:hAnsi="Times New Roman" w:cs="Times New Roman"/>
          <w:b/>
          <w:kern w:val="0"/>
          <w:sz w:val="24"/>
          <w14:ligatures w14:val="none"/>
        </w:rPr>
      </w:pPr>
    </w:p>
    <w:p w14:paraId="26D1AA53" w14:textId="77777777" w:rsidR="00170EAD" w:rsidRPr="00BD3935" w:rsidRDefault="00170EAD" w:rsidP="006F608F">
      <w:pPr>
        <w:spacing w:line="360" w:lineRule="auto"/>
        <w:jc w:val="both"/>
        <w:rPr>
          <w:rFonts w:ascii="Times New Roman" w:eastAsia="Calibri" w:hAnsi="Times New Roman" w:cs="Times New Roman"/>
          <w:b/>
          <w:kern w:val="0"/>
          <w:sz w:val="24"/>
          <w14:ligatures w14:val="none"/>
        </w:rPr>
      </w:pPr>
    </w:p>
    <w:p w14:paraId="2CC2529D" w14:textId="0035B0F0" w:rsidR="006F608F" w:rsidRPr="00BD3935" w:rsidRDefault="006F608F" w:rsidP="006F608F">
      <w:pPr>
        <w:spacing w:line="360" w:lineRule="auto"/>
        <w:jc w:val="both"/>
        <w:rPr>
          <w:rFonts w:ascii="Times New Roman" w:eastAsia="Calibri" w:hAnsi="Times New Roman" w:cs="Times New Roman"/>
          <w:b/>
          <w:kern w:val="0"/>
          <w:sz w:val="24"/>
          <w14:ligatures w14:val="none"/>
        </w:rPr>
      </w:pPr>
      <w:r w:rsidRPr="00BD3935">
        <w:rPr>
          <w:rFonts w:ascii="Times New Roman" w:eastAsia="Calibri" w:hAnsi="Times New Roman" w:cs="Times New Roman"/>
          <w:b/>
          <w:kern w:val="0"/>
          <w:sz w:val="24"/>
          <w14:ligatures w14:val="none"/>
        </w:rPr>
        <w:t xml:space="preserve">1. </w:t>
      </w:r>
      <w:r w:rsidR="008710DA" w:rsidRPr="00BD3935">
        <w:rPr>
          <w:rFonts w:ascii="Times New Roman" w:eastAsia="Calibri" w:hAnsi="Times New Roman" w:cs="Times New Roman"/>
          <w:b/>
          <w:kern w:val="0"/>
          <w:sz w:val="24"/>
          <w14:ligatures w14:val="none"/>
        </w:rPr>
        <w:t>Introduction</w:t>
      </w:r>
    </w:p>
    <w:p w14:paraId="4EB3A7F0" w14:textId="53581E76" w:rsidR="00413B39" w:rsidRPr="00BD3935" w:rsidRDefault="006F608F" w:rsidP="008F7F21">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lastRenderedPageBreak/>
        <w:t>Serious concerns about climate change are gaining more attention worldwide. These concerns are mostly linked to greenhouse gases (GHG), which are mostly caused by emissions of carbon dioxide (CO</w:t>
      </w:r>
      <w:r w:rsidRPr="00BD3935">
        <w:rPr>
          <w:rFonts w:ascii="Times New Roman" w:eastAsia="Calibri" w:hAnsi="Times New Roman" w:cs="Times New Roman"/>
          <w:bCs/>
          <w:kern w:val="0"/>
          <w:sz w:val="24"/>
          <w:vertAlign w:val="subscript"/>
          <w14:ligatures w14:val="none"/>
        </w:rPr>
        <w:t>2</w:t>
      </w:r>
      <w:r w:rsidRPr="00BD3935">
        <w:rPr>
          <w:rFonts w:ascii="Times New Roman" w:eastAsia="Calibri" w:hAnsi="Times New Roman" w:cs="Times New Roman"/>
          <w:bCs/>
          <w:kern w:val="0"/>
          <w:sz w:val="24"/>
          <w14:ligatures w14:val="none"/>
        </w:rPr>
        <w:t>), methane (CH</w:t>
      </w:r>
      <w:r w:rsidRPr="00BD3935">
        <w:rPr>
          <w:rFonts w:ascii="Times New Roman" w:eastAsia="Calibri" w:hAnsi="Times New Roman" w:cs="Times New Roman"/>
          <w:bCs/>
          <w:kern w:val="0"/>
          <w:sz w:val="24"/>
          <w:vertAlign w:val="subscript"/>
          <w14:ligatures w14:val="none"/>
        </w:rPr>
        <w:t>4</w:t>
      </w:r>
      <w:r w:rsidRPr="00BD3935">
        <w:rPr>
          <w:rFonts w:ascii="Times New Roman" w:eastAsia="Calibri" w:hAnsi="Times New Roman" w:cs="Times New Roman"/>
          <w:bCs/>
          <w:kern w:val="0"/>
          <w:sz w:val="24"/>
          <w14:ligatures w14:val="none"/>
        </w:rPr>
        <w:t>), and nitrous oxide (N</w:t>
      </w:r>
      <w:r w:rsidRPr="00BD3935">
        <w:rPr>
          <w:rFonts w:ascii="Times New Roman" w:eastAsia="Calibri" w:hAnsi="Times New Roman" w:cs="Times New Roman"/>
          <w:bCs/>
          <w:kern w:val="0"/>
          <w:sz w:val="24"/>
          <w:vertAlign w:val="subscript"/>
          <w14:ligatures w14:val="none"/>
        </w:rPr>
        <w:t>2</w:t>
      </w:r>
      <w:r w:rsidRPr="00BD3935">
        <w:rPr>
          <w:rFonts w:ascii="Times New Roman" w:eastAsia="Calibri" w:hAnsi="Times New Roman" w:cs="Times New Roman"/>
          <w:bCs/>
          <w:kern w:val="0"/>
          <w:sz w:val="24"/>
          <w14:ligatures w14:val="none"/>
        </w:rPr>
        <w:t>O) due to increase in anthropogenic activities over time (Carvalho et al., 2010). The level of CO</w:t>
      </w:r>
      <w:r w:rsidRPr="00BD3935">
        <w:rPr>
          <w:rFonts w:ascii="Times New Roman" w:eastAsia="Calibri" w:hAnsi="Times New Roman" w:cs="Times New Roman"/>
          <w:bCs/>
          <w:kern w:val="0"/>
          <w:sz w:val="24"/>
          <w:vertAlign w:val="subscript"/>
          <w14:ligatures w14:val="none"/>
        </w:rPr>
        <w:t>2</w:t>
      </w:r>
      <w:r w:rsidRPr="00BD3935">
        <w:rPr>
          <w:rFonts w:ascii="Times New Roman" w:eastAsia="Calibri" w:hAnsi="Times New Roman" w:cs="Times New Roman"/>
          <w:bCs/>
          <w:kern w:val="0"/>
          <w:sz w:val="24"/>
          <w14:ligatures w14:val="none"/>
        </w:rPr>
        <w:t xml:space="preserve"> concentration has increased at over 420 parts per million, which has been the maximum in the previous 63 years (</w:t>
      </w:r>
      <w:r w:rsidR="002574E3" w:rsidRPr="00BD3935">
        <w:rPr>
          <w:rFonts w:ascii="Times New Roman" w:eastAsia="Calibri" w:hAnsi="Times New Roman" w:cs="Times New Roman"/>
          <w:bCs/>
          <w:kern w:val="0"/>
          <w:sz w:val="24"/>
          <w14:ligatures w14:val="none"/>
        </w:rPr>
        <w:t>Toloi</w:t>
      </w:r>
      <w:r w:rsidRPr="00BD3935">
        <w:rPr>
          <w:rFonts w:ascii="Times New Roman" w:eastAsia="Calibri" w:hAnsi="Times New Roman" w:cs="Times New Roman"/>
          <w:bCs/>
          <w:kern w:val="0"/>
          <w:sz w:val="24"/>
          <w14:ligatures w14:val="none"/>
        </w:rPr>
        <w:t xml:space="preserve"> et al 2022). It raises the average surface temperature globally by around 40% over preindustrial levels (Luo et al., 2017; NOAA, 2021). According to the Intergovernmental Panel on Climate Change (IPCC, 2015), constant emission of </w:t>
      </w:r>
      <w:r w:rsidR="00116663" w:rsidRPr="00BD3935">
        <w:rPr>
          <w:rFonts w:ascii="Times New Roman" w:eastAsia="Calibri" w:hAnsi="Times New Roman" w:cs="Times New Roman"/>
          <w:bCs/>
          <w:kern w:val="0"/>
          <w:sz w:val="24"/>
          <w14:ligatures w14:val="none"/>
        </w:rPr>
        <w:t>GHG</w:t>
      </w:r>
      <w:r w:rsidRPr="00BD3935">
        <w:rPr>
          <w:rFonts w:ascii="Times New Roman" w:eastAsia="Calibri" w:hAnsi="Times New Roman" w:cs="Times New Roman"/>
          <w:bCs/>
          <w:kern w:val="0"/>
          <w:sz w:val="24"/>
          <w14:ligatures w14:val="none"/>
        </w:rPr>
        <w:t xml:space="preserve"> has a negative influence on the productivity in the agricultural sector, which is sensitive to and </w:t>
      </w:r>
      <w:r w:rsidR="00413B39" w:rsidRPr="00BD3935">
        <w:rPr>
          <w:rFonts w:ascii="Times New Roman" w:eastAsia="Calibri" w:hAnsi="Times New Roman" w:cs="Times New Roman"/>
          <w:bCs/>
          <w:kern w:val="0"/>
          <w:sz w:val="24"/>
          <w14:ligatures w14:val="none"/>
        </w:rPr>
        <w:t>dependent</w:t>
      </w:r>
      <w:r w:rsidRPr="00BD3935">
        <w:rPr>
          <w:rFonts w:ascii="Times New Roman" w:eastAsia="Calibri" w:hAnsi="Times New Roman" w:cs="Times New Roman"/>
          <w:bCs/>
          <w:kern w:val="0"/>
          <w:sz w:val="24"/>
          <w14:ligatures w14:val="none"/>
        </w:rPr>
        <w:t xml:space="preserve"> on climate change</w:t>
      </w:r>
      <w:r w:rsidR="00413B39" w:rsidRPr="00BD3935">
        <w:rPr>
          <w:rFonts w:ascii="Times New Roman" w:eastAsia="Calibri" w:hAnsi="Times New Roman" w:cs="Times New Roman"/>
          <w:bCs/>
          <w:kern w:val="0"/>
          <w:sz w:val="24"/>
          <w14:ligatures w14:val="none"/>
        </w:rPr>
        <w:t>. These high emissions require natural components to serve as storages for the excess GHG especially CO2. Studies have established that the tropical forests contribute substantially to mitigating climate change and stocking carbon (Lal 2004a).</w:t>
      </w:r>
      <w:r w:rsidR="00413B39" w:rsidRPr="00BD3935">
        <w:t xml:space="preserve"> </w:t>
      </w:r>
      <w:r w:rsidR="00413B39" w:rsidRPr="00BD3935">
        <w:rPr>
          <w:rFonts w:ascii="Times New Roman" w:eastAsia="Calibri" w:hAnsi="Times New Roman" w:cs="Times New Roman"/>
          <w:bCs/>
          <w:kern w:val="0"/>
          <w:sz w:val="24"/>
          <w14:ligatures w14:val="none"/>
        </w:rPr>
        <w:t xml:space="preserve">It became worrisome to acknowledge that growth in population and infrastructure have </w:t>
      </w:r>
      <w:r w:rsidR="0042791A" w:rsidRPr="00BD3935">
        <w:rPr>
          <w:rFonts w:ascii="Times New Roman" w:eastAsia="Calibri" w:hAnsi="Times New Roman" w:cs="Times New Roman"/>
          <w:bCs/>
          <w:kern w:val="0"/>
          <w:sz w:val="24"/>
          <w14:ligatures w14:val="none"/>
        </w:rPr>
        <w:t>led to acute</w:t>
      </w:r>
      <w:r w:rsidR="00413B39" w:rsidRPr="00BD3935">
        <w:rPr>
          <w:rFonts w:ascii="Times New Roman" w:eastAsia="Calibri" w:hAnsi="Times New Roman" w:cs="Times New Roman"/>
          <w:bCs/>
          <w:kern w:val="0"/>
          <w:sz w:val="24"/>
          <w14:ligatures w14:val="none"/>
        </w:rPr>
        <w:t xml:space="preserve"> </w:t>
      </w:r>
      <w:r w:rsidR="0042791A" w:rsidRPr="00BD3935">
        <w:rPr>
          <w:rFonts w:ascii="Times New Roman" w:eastAsia="Calibri" w:hAnsi="Times New Roman" w:cs="Times New Roman"/>
          <w:bCs/>
          <w:kern w:val="0"/>
          <w:sz w:val="24"/>
          <w14:ligatures w14:val="none"/>
        </w:rPr>
        <w:t>de</w:t>
      </w:r>
      <w:r w:rsidR="00413B39" w:rsidRPr="00BD3935">
        <w:rPr>
          <w:rFonts w:ascii="Times New Roman" w:eastAsia="Calibri" w:hAnsi="Times New Roman" w:cs="Times New Roman"/>
          <w:bCs/>
          <w:kern w:val="0"/>
          <w:sz w:val="24"/>
          <w14:ligatures w14:val="none"/>
        </w:rPr>
        <w:t>forest</w:t>
      </w:r>
      <w:r w:rsidR="0042791A" w:rsidRPr="00BD3935">
        <w:rPr>
          <w:rFonts w:ascii="Times New Roman" w:eastAsia="Calibri" w:hAnsi="Times New Roman" w:cs="Times New Roman"/>
          <w:bCs/>
          <w:kern w:val="0"/>
          <w:sz w:val="24"/>
          <w14:ligatures w14:val="none"/>
        </w:rPr>
        <w:t>ation and</w:t>
      </w:r>
      <w:r w:rsidR="00413B39" w:rsidRPr="00BD3935">
        <w:rPr>
          <w:rFonts w:ascii="Times New Roman" w:eastAsia="Calibri" w:hAnsi="Times New Roman" w:cs="Times New Roman"/>
          <w:bCs/>
          <w:kern w:val="0"/>
          <w:sz w:val="24"/>
          <w14:ligatures w14:val="none"/>
        </w:rPr>
        <w:t xml:space="preserve"> degradation </w:t>
      </w:r>
      <w:r w:rsidR="0042791A" w:rsidRPr="00BD3935">
        <w:rPr>
          <w:rFonts w:ascii="Times New Roman" w:eastAsia="Calibri" w:hAnsi="Times New Roman" w:cs="Times New Roman"/>
          <w:bCs/>
          <w:kern w:val="0"/>
          <w:sz w:val="24"/>
          <w14:ligatures w14:val="none"/>
        </w:rPr>
        <w:t xml:space="preserve">of the forest ecosystem </w:t>
      </w:r>
      <w:r w:rsidR="00413B39" w:rsidRPr="00BD3935">
        <w:rPr>
          <w:rFonts w:ascii="Times New Roman" w:eastAsia="Calibri" w:hAnsi="Times New Roman" w:cs="Times New Roman"/>
          <w:bCs/>
          <w:kern w:val="0"/>
          <w:sz w:val="24"/>
          <w14:ligatures w14:val="none"/>
        </w:rPr>
        <w:t>at</w:t>
      </w:r>
      <w:r w:rsidR="0042791A" w:rsidRPr="00BD3935">
        <w:rPr>
          <w:rFonts w:ascii="Times New Roman" w:eastAsia="Calibri" w:hAnsi="Times New Roman" w:cs="Times New Roman"/>
          <w:bCs/>
          <w:kern w:val="0"/>
          <w:sz w:val="24"/>
          <w14:ligatures w14:val="none"/>
        </w:rPr>
        <w:t xml:space="preserve"> every scale (local,</w:t>
      </w:r>
      <w:r w:rsidR="00413B39" w:rsidRPr="00BD3935">
        <w:rPr>
          <w:rFonts w:ascii="Times New Roman" w:eastAsia="Calibri" w:hAnsi="Times New Roman" w:cs="Times New Roman"/>
          <w:bCs/>
          <w:kern w:val="0"/>
          <w:sz w:val="24"/>
          <w14:ligatures w14:val="none"/>
        </w:rPr>
        <w:t xml:space="preserve"> regional</w:t>
      </w:r>
      <w:r w:rsidR="0042791A" w:rsidRPr="00BD3935">
        <w:rPr>
          <w:rFonts w:ascii="Times New Roman" w:eastAsia="Calibri" w:hAnsi="Times New Roman" w:cs="Times New Roman"/>
          <w:bCs/>
          <w:kern w:val="0"/>
          <w:sz w:val="24"/>
          <w14:ligatures w14:val="none"/>
        </w:rPr>
        <w:t>,</w:t>
      </w:r>
      <w:r w:rsidR="00413B39" w:rsidRPr="00BD3935">
        <w:rPr>
          <w:rFonts w:ascii="Times New Roman" w:eastAsia="Calibri" w:hAnsi="Times New Roman" w:cs="Times New Roman"/>
          <w:bCs/>
          <w:kern w:val="0"/>
          <w:sz w:val="24"/>
          <w14:ligatures w14:val="none"/>
        </w:rPr>
        <w:t xml:space="preserve"> and global</w:t>
      </w:r>
      <w:r w:rsidR="0042791A" w:rsidRPr="00BD3935">
        <w:rPr>
          <w:rFonts w:ascii="Times New Roman" w:eastAsia="Calibri" w:hAnsi="Times New Roman" w:cs="Times New Roman"/>
          <w:bCs/>
          <w:kern w:val="0"/>
          <w:sz w:val="24"/>
          <w14:ligatures w14:val="none"/>
        </w:rPr>
        <w:t>)</w:t>
      </w:r>
      <w:r w:rsidR="00413B39" w:rsidRPr="00BD3935">
        <w:rPr>
          <w:rFonts w:ascii="Times New Roman" w:eastAsia="Calibri" w:hAnsi="Times New Roman" w:cs="Times New Roman"/>
          <w:bCs/>
          <w:kern w:val="0"/>
          <w:sz w:val="24"/>
          <w14:ligatures w14:val="none"/>
        </w:rPr>
        <w:t xml:space="preserve"> (Chervier et al. 2024; Nyarko et al. 2023).</w:t>
      </w:r>
    </w:p>
    <w:p w14:paraId="43427208" w14:textId="7EAD7277" w:rsidR="00413B39" w:rsidRPr="00BD3935" w:rsidRDefault="0042791A" w:rsidP="008F7F21">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 xml:space="preserve">Soil has become an alternative option and a reliable medium to serve as a natural pool for terrestrial carbon. Soil is a vital element of the global carbon cycle and builds the largest terrestrial carbon storage with an estimates of 2500 Gt (1 Gt = 109 t) of total carbon stocks (Hou et al. 2020; Lal 2004a), of which soil organic </w:t>
      </w:r>
      <w:r w:rsidR="00173DA3" w:rsidRPr="00BD3935">
        <w:rPr>
          <w:rFonts w:ascii="Times New Roman" w:eastAsia="Calibri" w:hAnsi="Times New Roman" w:cs="Times New Roman"/>
          <w:bCs/>
          <w:kern w:val="0"/>
          <w:sz w:val="24"/>
          <w14:ligatures w14:val="none"/>
        </w:rPr>
        <w:t>had about</w:t>
      </w:r>
      <w:r w:rsidRPr="00BD3935">
        <w:rPr>
          <w:rFonts w:ascii="Times New Roman" w:eastAsia="Calibri" w:hAnsi="Times New Roman" w:cs="Times New Roman"/>
          <w:bCs/>
          <w:kern w:val="0"/>
          <w:sz w:val="24"/>
          <w14:ligatures w14:val="none"/>
        </w:rPr>
        <w:t xml:space="preserve"> 1550 Gt up to 1m </w:t>
      </w:r>
      <w:r w:rsidR="00173DA3" w:rsidRPr="00BD3935">
        <w:rPr>
          <w:rFonts w:ascii="Times New Roman" w:eastAsia="Calibri" w:hAnsi="Times New Roman" w:cs="Times New Roman"/>
          <w:bCs/>
          <w:kern w:val="0"/>
          <w:sz w:val="24"/>
          <w14:ligatures w14:val="none"/>
        </w:rPr>
        <w:t xml:space="preserve">layer </w:t>
      </w:r>
      <w:r w:rsidRPr="00BD3935">
        <w:rPr>
          <w:rFonts w:ascii="Times New Roman" w:eastAsia="Calibri" w:hAnsi="Times New Roman" w:cs="Times New Roman"/>
          <w:bCs/>
          <w:kern w:val="0"/>
          <w:sz w:val="24"/>
          <w14:ligatures w14:val="none"/>
        </w:rPr>
        <w:t xml:space="preserve">depth (Lal 2004b). </w:t>
      </w:r>
      <w:r w:rsidR="0016135B" w:rsidRPr="00BD3935">
        <w:rPr>
          <w:rFonts w:ascii="Times New Roman" w:eastAsia="Calibri" w:hAnsi="Times New Roman" w:cs="Times New Roman"/>
          <w:bCs/>
          <w:kern w:val="0"/>
          <w:sz w:val="24"/>
          <w14:ligatures w14:val="none"/>
        </w:rPr>
        <w:t xml:space="preserve">It has been reported </w:t>
      </w:r>
      <w:r w:rsidRPr="00BD3935">
        <w:rPr>
          <w:rFonts w:ascii="Times New Roman" w:eastAsia="Calibri" w:hAnsi="Times New Roman" w:cs="Times New Roman"/>
          <w:bCs/>
          <w:kern w:val="0"/>
          <w:sz w:val="24"/>
          <w14:ligatures w14:val="none"/>
        </w:rPr>
        <w:t xml:space="preserve">that a </w:t>
      </w:r>
      <w:r w:rsidR="0016135B" w:rsidRPr="00BD3935">
        <w:rPr>
          <w:rFonts w:ascii="Times New Roman" w:eastAsia="Calibri" w:hAnsi="Times New Roman" w:cs="Times New Roman"/>
          <w:bCs/>
          <w:kern w:val="0"/>
          <w:sz w:val="24"/>
          <w14:ligatures w14:val="none"/>
        </w:rPr>
        <w:t>minuscule</w:t>
      </w:r>
      <w:r w:rsidRPr="00BD3935">
        <w:rPr>
          <w:rFonts w:ascii="Times New Roman" w:eastAsia="Calibri" w:hAnsi="Times New Roman" w:cs="Times New Roman"/>
          <w:bCs/>
          <w:kern w:val="0"/>
          <w:sz w:val="24"/>
          <w14:ligatures w14:val="none"/>
        </w:rPr>
        <w:t xml:space="preserve"> loss or release from this </w:t>
      </w:r>
      <w:r w:rsidR="0016135B" w:rsidRPr="00BD3935">
        <w:rPr>
          <w:rFonts w:ascii="Times New Roman" w:eastAsia="Calibri" w:hAnsi="Times New Roman" w:cs="Times New Roman"/>
          <w:bCs/>
          <w:kern w:val="0"/>
          <w:sz w:val="24"/>
          <w14:ligatures w14:val="none"/>
        </w:rPr>
        <w:t xml:space="preserve">large </w:t>
      </w:r>
      <w:r w:rsidRPr="00BD3935">
        <w:rPr>
          <w:rFonts w:ascii="Times New Roman" w:eastAsia="Calibri" w:hAnsi="Times New Roman" w:cs="Times New Roman"/>
          <w:bCs/>
          <w:kern w:val="0"/>
          <w:sz w:val="24"/>
          <w14:ligatures w14:val="none"/>
        </w:rPr>
        <w:t xml:space="preserve">C-stock </w:t>
      </w:r>
      <w:r w:rsidR="0016135B" w:rsidRPr="00BD3935">
        <w:rPr>
          <w:rFonts w:ascii="Times New Roman" w:eastAsia="Calibri" w:hAnsi="Times New Roman" w:cs="Times New Roman"/>
          <w:bCs/>
          <w:kern w:val="0"/>
          <w:sz w:val="24"/>
          <w14:ligatures w14:val="none"/>
        </w:rPr>
        <w:t>might</w:t>
      </w:r>
      <w:r w:rsidRPr="00BD3935">
        <w:rPr>
          <w:rFonts w:ascii="Times New Roman" w:eastAsia="Calibri" w:hAnsi="Times New Roman" w:cs="Times New Roman"/>
          <w:bCs/>
          <w:kern w:val="0"/>
          <w:sz w:val="24"/>
          <w14:ligatures w14:val="none"/>
        </w:rPr>
        <w:t xml:space="preserve"> </w:t>
      </w:r>
      <w:r w:rsidR="0016135B" w:rsidRPr="00BD3935">
        <w:rPr>
          <w:rFonts w:ascii="Times New Roman" w:eastAsia="Calibri" w:hAnsi="Times New Roman" w:cs="Times New Roman"/>
          <w:bCs/>
          <w:kern w:val="0"/>
          <w:sz w:val="24"/>
          <w14:ligatures w14:val="none"/>
        </w:rPr>
        <w:t>stimulate</w:t>
      </w:r>
      <w:r w:rsidRPr="00BD3935">
        <w:rPr>
          <w:rFonts w:ascii="Times New Roman" w:eastAsia="Calibri" w:hAnsi="Times New Roman" w:cs="Times New Roman"/>
          <w:bCs/>
          <w:kern w:val="0"/>
          <w:sz w:val="24"/>
          <w14:ligatures w14:val="none"/>
        </w:rPr>
        <w:t xml:space="preserve"> a </w:t>
      </w:r>
      <w:r w:rsidR="0016135B" w:rsidRPr="00BD3935">
        <w:rPr>
          <w:rFonts w:ascii="Times New Roman" w:eastAsia="Calibri" w:hAnsi="Times New Roman" w:cs="Times New Roman"/>
          <w:bCs/>
          <w:kern w:val="0"/>
          <w:sz w:val="24"/>
          <w14:ligatures w14:val="none"/>
        </w:rPr>
        <w:t xml:space="preserve">significant impact </w:t>
      </w:r>
      <w:r w:rsidRPr="00BD3935">
        <w:rPr>
          <w:rFonts w:ascii="Times New Roman" w:eastAsia="Calibri" w:hAnsi="Times New Roman" w:cs="Times New Roman"/>
          <w:bCs/>
          <w:kern w:val="0"/>
          <w:sz w:val="24"/>
          <w14:ligatures w14:val="none"/>
        </w:rPr>
        <w:t>on future atmospheric CO</w:t>
      </w:r>
      <w:r w:rsidRPr="00BD3935">
        <w:rPr>
          <w:rFonts w:ascii="Times New Roman" w:eastAsia="Calibri" w:hAnsi="Times New Roman" w:cs="Times New Roman"/>
          <w:bCs/>
          <w:kern w:val="0"/>
          <w:sz w:val="24"/>
          <w:vertAlign w:val="subscript"/>
          <w14:ligatures w14:val="none"/>
        </w:rPr>
        <w:t>2</w:t>
      </w:r>
      <w:r w:rsidRPr="00BD3935">
        <w:rPr>
          <w:rFonts w:ascii="Times New Roman" w:eastAsia="Calibri" w:hAnsi="Times New Roman" w:cs="Times New Roman"/>
          <w:bCs/>
          <w:kern w:val="0"/>
          <w:sz w:val="24"/>
          <w14:ligatures w14:val="none"/>
        </w:rPr>
        <w:t xml:space="preserve"> </w:t>
      </w:r>
      <w:r w:rsidR="0016135B" w:rsidRPr="00BD3935">
        <w:rPr>
          <w:rFonts w:ascii="Times New Roman" w:eastAsia="Calibri" w:hAnsi="Times New Roman" w:cs="Times New Roman"/>
          <w:bCs/>
          <w:kern w:val="0"/>
          <w:sz w:val="24"/>
          <w14:ligatures w14:val="none"/>
        </w:rPr>
        <w:t>concentration</w:t>
      </w:r>
      <w:r w:rsidRPr="00BD3935">
        <w:rPr>
          <w:rFonts w:ascii="Times New Roman" w:eastAsia="Calibri" w:hAnsi="Times New Roman" w:cs="Times New Roman"/>
          <w:bCs/>
          <w:kern w:val="0"/>
          <w:sz w:val="24"/>
          <w14:ligatures w14:val="none"/>
        </w:rPr>
        <w:t xml:space="preserve"> (Smith et al. 2008). SOC is a</w:t>
      </w:r>
      <w:r w:rsidR="008E6A29" w:rsidRPr="00BD3935">
        <w:rPr>
          <w:rFonts w:ascii="Times New Roman" w:eastAsia="Calibri" w:hAnsi="Times New Roman" w:cs="Times New Roman"/>
          <w:bCs/>
          <w:kern w:val="0"/>
          <w:sz w:val="24"/>
          <w14:ligatures w14:val="none"/>
        </w:rPr>
        <w:t xml:space="preserve">n indispensable part </w:t>
      </w:r>
      <w:r w:rsidRPr="00BD3935">
        <w:rPr>
          <w:rFonts w:ascii="Times New Roman" w:eastAsia="Calibri" w:hAnsi="Times New Roman" w:cs="Times New Roman"/>
          <w:bCs/>
          <w:kern w:val="0"/>
          <w:sz w:val="24"/>
          <w14:ligatures w14:val="none"/>
        </w:rPr>
        <w:t xml:space="preserve">of the soil that </w:t>
      </w:r>
      <w:r w:rsidR="008E6A29" w:rsidRPr="00BD3935">
        <w:rPr>
          <w:rFonts w:ascii="Times New Roman" w:eastAsia="Calibri" w:hAnsi="Times New Roman" w:cs="Times New Roman"/>
          <w:bCs/>
          <w:kern w:val="0"/>
          <w:sz w:val="24"/>
          <w14:ligatures w14:val="none"/>
        </w:rPr>
        <w:t>enhances</w:t>
      </w:r>
      <w:r w:rsidRPr="00BD3935">
        <w:rPr>
          <w:rFonts w:ascii="Times New Roman" w:eastAsia="Calibri" w:hAnsi="Times New Roman" w:cs="Times New Roman"/>
          <w:bCs/>
          <w:kern w:val="0"/>
          <w:sz w:val="24"/>
          <w14:ligatures w14:val="none"/>
        </w:rPr>
        <w:t xml:space="preserve"> soil </w:t>
      </w:r>
      <w:r w:rsidR="008E6A29" w:rsidRPr="00BD3935">
        <w:rPr>
          <w:rFonts w:ascii="Times New Roman" w:eastAsia="Calibri" w:hAnsi="Times New Roman" w:cs="Times New Roman"/>
          <w:bCs/>
          <w:kern w:val="0"/>
          <w:sz w:val="24"/>
          <w14:ligatures w14:val="none"/>
        </w:rPr>
        <w:t>richness</w:t>
      </w:r>
      <w:r w:rsidRPr="00BD3935">
        <w:rPr>
          <w:rFonts w:ascii="Times New Roman" w:eastAsia="Calibri" w:hAnsi="Times New Roman" w:cs="Times New Roman"/>
          <w:bCs/>
          <w:kern w:val="0"/>
          <w:sz w:val="24"/>
          <w14:ligatures w14:val="none"/>
        </w:rPr>
        <w:t xml:space="preserve">, soil </w:t>
      </w:r>
      <w:r w:rsidR="008E6A29" w:rsidRPr="00BD3935">
        <w:rPr>
          <w:rFonts w:ascii="Times New Roman" w:eastAsia="Calibri" w:hAnsi="Times New Roman" w:cs="Times New Roman"/>
          <w:bCs/>
          <w:kern w:val="0"/>
          <w:sz w:val="24"/>
          <w14:ligatures w14:val="none"/>
        </w:rPr>
        <w:t>quality</w:t>
      </w:r>
      <w:r w:rsidRPr="00BD3935">
        <w:rPr>
          <w:rFonts w:ascii="Times New Roman" w:eastAsia="Calibri" w:hAnsi="Times New Roman" w:cs="Times New Roman"/>
          <w:bCs/>
          <w:kern w:val="0"/>
          <w:sz w:val="24"/>
          <w14:ligatures w14:val="none"/>
        </w:rPr>
        <w:t xml:space="preserve">, </w:t>
      </w:r>
      <w:r w:rsidR="008E6A29" w:rsidRPr="00BD3935">
        <w:rPr>
          <w:rFonts w:ascii="Times New Roman" w:eastAsia="Calibri" w:hAnsi="Times New Roman" w:cs="Times New Roman"/>
          <w:bCs/>
          <w:kern w:val="0"/>
          <w:sz w:val="24"/>
          <w14:ligatures w14:val="none"/>
        </w:rPr>
        <w:t xml:space="preserve">soil </w:t>
      </w:r>
      <w:r w:rsidRPr="00BD3935">
        <w:rPr>
          <w:rFonts w:ascii="Times New Roman" w:eastAsia="Calibri" w:hAnsi="Times New Roman" w:cs="Times New Roman"/>
          <w:bCs/>
          <w:kern w:val="0"/>
          <w:sz w:val="24"/>
          <w14:ligatures w14:val="none"/>
        </w:rPr>
        <w:t xml:space="preserve">ecosystem </w:t>
      </w:r>
      <w:r w:rsidR="008E6A29" w:rsidRPr="00BD3935">
        <w:rPr>
          <w:rFonts w:ascii="Times New Roman" w:eastAsia="Calibri" w:hAnsi="Times New Roman" w:cs="Times New Roman"/>
          <w:bCs/>
          <w:kern w:val="0"/>
          <w:sz w:val="24"/>
          <w14:ligatures w14:val="none"/>
        </w:rPr>
        <w:t>services</w:t>
      </w:r>
      <w:r w:rsidRPr="00BD3935">
        <w:rPr>
          <w:rFonts w:ascii="Times New Roman" w:eastAsia="Calibri" w:hAnsi="Times New Roman" w:cs="Times New Roman"/>
          <w:bCs/>
          <w:kern w:val="0"/>
          <w:sz w:val="24"/>
          <w14:ligatures w14:val="none"/>
        </w:rPr>
        <w:t xml:space="preserve">, </w:t>
      </w:r>
      <w:r w:rsidR="008E6A29" w:rsidRPr="00BD3935">
        <w:rPr>
          <w:rFonts w:ascii="Times New Roman" w:eastAsia="Calibri" w:hAnsi="Times New Roman" w:cs="Times New Roman"/>
          <w:bCs/>
          <w:kern w:val="0"/>
          <w:sz w:val="24"/>
          <w14:ligatures w14:val="none"/>
        </w:rPr>
        <w:t>crop yields</w:t>
      </w:r>
      <w:r w:rsidRPr="00BD3935">
        <w:rPr>
          <w:rFonts w:ascii="Times New Roman" w:eastAsia="Calibri" w:hAnsi="Times New Roman" w:cs="Times New Roman"/>
          <w:bCs/>
          <w:kern w:val="0"/>
          <w:sz w:val="24"/>
          <w14:ligatures w14:val="none"/>
        </w:rPr>
        <w:t xml:space="preserve">, and the global carbon cycle. In </w:t>
      </w:r>
      <w:r w:rsidR="00562BFE" w:rsidRPr="00BD3935">
        <w:rPr>
          <w:rFonts w:ascii="Times New Roman" w:eastAsia="Calibri" w:hAnsi="Times New Roman" w:cs="Times New Roman"/>
          <w:bCs/>
          <w:kern w:val="0"/>
          <w:sz w:val="24"/>
          <w14:ligatures w14:val="none"/>
        </w:rPr>
        <w:t>recent</w:t>
      </w:r>
      <w:r w:rsidR="008E6A29" w:rsidRPr="00BD3935">
        <w:rPr>
          <w:rFonts w:ascii="Times New Roman" w:eastAsia="Calibri" w:hAnsi="Times New Roman" w:cs="Times New Roman"/>
          <w:bCs/>
          <w:kern w:val="0"/>
          <w:sz w:val="24"/>
          <w14:ligatures w14:val="none"/>
        </w:rPr>
        <w:t xml:space="preserve"> decades</w:t>
      </w:r>
      <w:r w:rsidRPr="00BD3935">
        <w:rPr>
          <w:rFonts w:ascii="Times New Roman" w:eastAsia="Calibri" w:hAnsi="Times New Roman" w:cs="Times New Roman"/>
          <w:bCs/>
          <w:kern w:val="0"/>
          <w:sz w:val="24"/>
          <w14:ligatures w14:val="none"/>
        </w:rPr>
        <w:t xml:space="preserve">, </w:t>
      </w:r>
      <w:r w:rsidR="008E6A29" w:rsidRPr="00BD3935">
        <w:rPr>
          <w:rFonts w:ascii="Times New Roman" w:eastAsia="Calibri" w:hAnsi="Times New Roman" w:cs="Times New Roman"/>
          <w:bCs/>
          <w:kern w:val="0"/>
          <w:sz w:val="24"/>
          <w14:ligatures w14:val="none"/>
        </w:rPr>
        <w:t xml:space="preserve">much attention has </w:t>
      </w:r>
      <w:r w:rsidR="00170EAD" w:rsidRPr="00BD3935">
        <w:rPr>
          <w:rFonts w:ascii="Times New Roman" w:eastAsia="Calibri" w:hAnsi="Times New Roman" w:cs="Times New Roman"/>
          <w:bCs/>
          <w:kern w:val="0"/>
          <w:sz w:val="24"/>
          <w14:ligatures w14:val="none"/>
        </w:rPr>
        <w:t>been paid</w:t>
      </w:r>
      <w:r w:rsidR="008E6A29" w:rsidRPr="00BD3935">
        <w:rPr>
          <w:rFonts w:ascii="Times New Roman" w:eastAsia="Calibri" w:hAnsi="Times New Roman" w:cs="Times New Roman"/>
          <w:bCs/>
          <w:kern w:val="0"/>
          <w:sz w:val="24"/>
          <w14:ligatures w14:val="none"/>
        </w:rPr>
        <w:t xml:space="preserve"> on how to promote SOC stocks to mitigate climate change, and various organizations,</w:t>
      </w:r>
      <w:r w:rsidRPr="00BD3935">
        <w:rPr>
          <w:rFonts w:ascii="Times New Roman" w:eastAsia="Calibri" w:hAnsi="Times New Roman" w:cs="Times New Roman"/>
          <w:bCs/>
          <w:kern w:val="0"/>
          <w:sz w:val="24"/>
          <w14:ligatures w14:val="none"/>
        </w:rPr>
        <w:t xml:space="preserve"> governments </w:t>
      </w:r>
      <w:r w:rsidR="008E6A29" w:rsidRPr="00BD3935">
        <w:rPr>
          <w:rFonts w:ascii="Times New Roman" w:eastAsia="Calibri" w:hAnsi="Times New Roman" w:cs="Times New Roman"/>
          <w:bCs/>
          <w:kern w:val="0"/>
          <w:sz w:val="24"/>
          <w14:ligatures w14:val="none"/>
        </w:rPr>
        <w:t xml:space="preserve">of different nations </w:t>
      </w:r>
      <w:r w:rsidRPr="00BD3935">
        <w:rPr>
          <w:rFonts w:ascii="Times New Roman" w:eastAsia="Calibri" w:hAnsi="Times New Roman" w:cs="Times New Roman"/>
          <w:bCs/>
          <w:kern w:val="0"/>
          <w:sz w:val="24"/>
          <w14:ligatures w14:val="none"/>
        </w:rPr>
        <w:t xml:space="preserve">and </w:t>
      </w:r>
      <w:r w:rsidR="008E6A29" w:rsidRPr="00BD3935">
        <w:rPr>
          <w:rFonts w:ascii="Times New Roman" w:eastAsia="Calibri" w:hAnsi="Times New Roman" w:cs="Times New Roman"/>
          <w:bCs/>
          <w:kern w:val="0"/>
          <w:sz w:val="24"/>
          <w14:ligatures w14:val="none"/>
        </w:rPr>
        <w:t xml:space="preserve">other stakeholders have been </w:t>
      </w:r>
      <w:r w:rsidR="0050418F" w:rsidRPr="00BD3935">
        <w:rPr>
          <w:rFonts w:ascii="Times New Roman" w:eastAsia="Calibri" w:hAnsi="Times New Roman" w:cs="Times New Roman"/>
          <w:bCs/>
          <w:kern w:val="0"/>
          <w:sz w:val="24"/>
          <w14:ligatures w14:val="none"/>
        </w:rPr>
        <w:t>pioneering</w:t>
      </w:r>
      <w:r w:rsidR="008E6A29" w:rsidRPr="00BD3935">
        <w:rPr>
          <w:rFonts w:ascii="Times New Roman" w:eastAsia="Calibri" w:hAnsi="Times New Roman" w:cs="Times New Roman"/>
          <w:bCs/>
          <w:kern w:val="0"/>
          <w:sz w:val="24"/>
          <w14:ligatures w14:val="none"/>
        </w:rPr>
        <w:t xml:space="preserve"> the campaign</w:t>
      </w:r>
      <w:r w:rsidRPr="00BD3935">
        <w:rPr>
          <w:rFonts w:ascii="Times New Roman" w:eastAsia="Calibri" w:hAnsi="Times New Roman" w:cs="Times New Roman"/>
          <w:bCs/>
          <w:kern w:val="0"/>
          <w:sz w:val="24"/>
          <w14:ligatures w14:val="none"/>
        </w:rPr>
        <w:t xml:space="preserve"> (Amelung et al. 2020).  </w:t>
      </w:r>
    </w:p>
    <w:p w14:paraId="6FCEB5A7" w14:textId="7E94726C" w:rsidR="00413B39" w:rsidRPr="00BD3935" w:rsidRDefault="00236BE6" w:rsidP="008F7F21">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 xml:space="preserve">The strong corrections between land use changes and SOC sequestration can never be overemphasized (Wiesmeier et al. 2019). </w:t>
      </w:r>
      <w:r w:rsidR="00AD15EA" w:rsidRPr="00BD3935">
        <w:rPr>
          <w:rFonts w:ascii="Times New Roman" w:eastAsia="Calibri" w:hAnsi="Times New Roman" w:cs="Times New Roman"/>
          <w:bCs/>
          <w:kern w:val="0"/>
          <w:sz w:val="24"/>
          <w14:ligatures w14:val="none"/>
        </w:rPr>
        <w:t xml:space="preserve">According to IPCC (2023), </w:t>
      </w:r>
      <w:r w:rsidRPr="00BD3935">
        <w:rPr>
          <w:rFonts w:ascii="Times New Roman" w:eastAsia="Calibri" w:hAnsi="Times New Roman" w:cs="Times New Roman"/>
          <w:bCs/>
          <w:kern w:val="0"/>
          <w:sz w:val="24"/>
          <w14:ligatures w14:val="none"/>
        </w:rPr>
        <w:t xml:space="preserve">agriculture, forestry, and other land uses (AFOLU) </w:t>
      </w:r>
      <w:r w:rsidR="00AD15EA" w:rsidRPr="00BD3935">
        <w:rPr>
          <w:rFonts w:ascii="Times New Roman" w:eastAsia="Calibri" w:hAnsi="Times New Roman" w:cs="Times New Roman"/>
          <w:bCs/>
          <w:kern w:val="0"/>
          <w:sz w:val="24"/>
          <w14:ligatures w14:val="none"/>
        </w:rPr>
        <w:t>contribute to</w:t>
      </w:r>
      <w:r w:rsidRPr="00BD3935">
        <w:rPr>
          <w:rFonts w:ascii="Times New Roman" w:eastAsia="Calibri" w:hAnsi="Times New Roman" w:cs="Times New Roman"/>
          <w:bCs/>
          <w:kern w:val="0"/>
          <w:sz w:val="24"/>
          <w14:ligatures w14:val="none"/>
        </w:rPr>
        <w:t xml:space="preserve"> 22% of</w:t>
      </w:r>
      <w:r w:rsidR="00AD15EA" w:rsidRPr="00BD3935">
        <w:rPr>
          <w:rFonts w:ascii="Times New Roman" w:eastAsia="Calibri" w:hAnsi="Times New Roman" w:cs="Times New Roman"/>
          <w:bCs/>
          <w:kern w:val="0"/>
          <w:sz w:val="24"/>
          <w14:ligatures w14:val="none"/>
        </w:rPr>
        <w:t xml:space="preserve"> global</w:t>
      </w:r>
      <w:r w:rsidRPr="00BD3935">
        <w:rPr>
          <w:rFonts w:ascii="Times New Roman" w:eastAsia="Calibri" w:hAnsi="Times New Roman" w:cs="Times New Roman"/>
          <w:bCs/>
          <w:kern w:val="0"/>
          <w:sz w:val="24"/>
          <w14:ligatures w14:val="none"/>
        </w:rPr>
        <w:t xml:space="preserve"> GHG emissions</w:t>
      </w:r>
      <w:r w:rsidR="00AD15EA" w:rsidRPr="00BD3935">
        <w:rPr>
          <w:rFonts w:ascii="Times New Roman" w:eastAsia="Calibri" w:hAnsi="Times New Roman" w:cs="Times New Roman"/>
          <w:bCs/>
          <w:kern w:val="0"/>
          <w:sz w:val="24"/>
          <w14:ligatures w14:val="none"/>
        </w:rPr>
        <w:t xml:space="preserve">. Meanwhile, this report contradicts the case of Brazil which in 2021 established that AFOLU is responsible for </w:t>
      </w:r>
      <w:r w:rsidRPr="00BD3935">
        <w:rPr>
          <w:rFonts w:ascii="Times New Roman" w:eastAsia="Calibri" w:hAnsi="Times New Roman" w:cs="Times New Roman"/>
          <w:bCs/>
          <w:kern w:val="0"/>
          <w:sz w:val="24"/>
          <w14:ligatures w14:val="none"/>
        </w:rPr>
        <w:t xml:space="preserve">74% of national </w:t>
      </w:r>
      <w:r w:rsidR="00AD15EA" w:rsidRPr="00BD3935">
        <w:rPr>
          <w:rFonts w:ascii="Times New Roman" w:eastAsia="Calibri" w:hAnsi="Times New Roman" w:cs="Times New Roman"/>
          <w:bCs/>
          <w:kern w:val="0"/>
          <w:sz w:val="24"/>
          <w14:ligatures w14:val="none"/>
        </w:rPr>
        <w:t xml:space="preserve">GHG </w:t>
      </w:r>
      <w:r w:rsidRPr="00BD3935">
        <w:rPr>
          <w:rFonts w:ascii="Times New Roman" w:eastAsia="Calibri" w:hAnsi="Times New Roman" w:cs="Times New Roman"/>
          <w:bCs/>
          <w:kern w:val="0"/>
          <w:sz w:val="24"/>
          <w14:ligatures w14:val="none"/>
        </w:rPr>
        <w:t>emissions (</w:t>
      </w:r>
      <w:r w:rsidR="00AD15EA" w:rsidRPr="00BD3935">
        <w:rPr>
          <w:rFonts w:ascii="Times New Roman" w:eastAsia="Calibri" w:hAnsi="Times New Roman" w:cs="Times New Roman"/>
          <w:bCs/>
          <w:kern w:val="0"/>
          <w:sz w:val="24"/>
          <w14:ligatures w14:val="none"/>
        </w:rPr>
        <w:t xml:space="preserve">i.e., </w:t>
      </w:r>
      <w:r w:rsidRPr="00BD3935">
        <w:rPr>
          <w:rFonts w:ascii="Times New Roman" w:eastAsia="Calibri" w:hAnsi="Times New Roman" w:cs="Times New Roman"/>
          <w:bCs/>
          <w:kern w:val="0"/>
          <w:sz w:val="24"/>
          <w14:ligatures w14:val="none"/>
        </w:rPr>
        <w:t xml:space="preserve">49% </w:t>
      </w:r>
      <w:r w:rsidR="00AD15EA" w:rsidRPr="00BD3935">
        <w:rPr>
          <w:rFonts w:ascii="Times New Roman" w:eastAsia="Calibri" w:hAnsi="Times New Roman" w:cs="Times New Roman"/>
          <w:bCs/>
          <w:kern w:val="0"/>
          <w:sz w:val="24"/>
          <w14:ligatures w14:val="none"/>
        </w:rPr>
        <w:t>forest + other land use</w:t>
      </w:r>
      <w:r w:rsidRPr="00BD3935">
        <w:rPr>
          <w:rFonts w:ascii="Times New Roman" w:eastAsia="Calibri" w:hAnsi="Times New Roman" w:cs="Times New Roman"/>
          <w:bCs/>
          <w:kern w:val="0"/>
          <w:sz w:val="24"/>
          <w14:ligatures w14:val="none"/>
        </w:rPr>
        <w:t xml:space="preserve">, and 25% agriculture) (SEEG 2021). </w:t>
      </w:r>
      <w:r w:rsidR="00AD15EA" w:rsidRPr="00BD3935">
        <w:rPr>
          <w:rFonts w:ascii="Times New Roman" w:eastAsia="Calibri" w:hAnsi="Times New Roman" w:cs="Times New Roman"/>
          <w:bCs/>
          <w:kern w:val="0"/>
          <w:sz w:val="24"/>
          <w14:ligatures w14:val="none"/>
        </w:rPr>
        <w:t xml:space="preserve">Thus, AFOLU needs to be given utmost attention in a nation such as Brazil because the </w:t>
      </w:r>
      <w:r w:rsidR="00AD15EA" w:rsidRPr="00BD3935">
        <w:rPr>
          <w:rFonts w:ascii="Times New Roman" w:eastAsia="Calibri" w:hAnsi="Times New Roman" w:cs="Times New Roman"/>
          <w:bCs/>
          <w:kern w:val="0"/>
          <w:sz w:val="24"/>
          <w14:ligatures w14:val="none"/>
        </w:rPr>
        <w:lastRenderedPageBreak/>
        <w:t xml:space="preserve">management of land use could either make or </w:t>
      </w:r>
      <w:r w:rsidR="005F7E3F" w:rsidRPr="00BD3935">
        <w:rPr>
          <w:rFonts w:ascii="Times New Roman" w:eastAsia="Calibri" w:hAnsi="Times New Roman" w:cs="Times New Roman"/>
          <w:bCs/>
          <w:kern w:val="0"/>
          <w:sz w:val="24"/>
          <w14:ligatures w14:val="none"/>
        </w:rPr>
        <w:t xml:space="preserve">mar the environment. Further, SOC stocks dominate largely in the surface soil are threatened because most anthropogenic </w:t>
      </w:r>
      <w:r w:rsidR="00222290" w:rsidRPr="00BD3935">
        <w:rPr>
          <w:rFonts w:ascii="Times New Roman" w:eastAsia="Calibri" w:hAnsi="Times New Roman" w:cs="Times New Roman"/>
          <w:bCs/>
          <w:kern w:val="0"/>
          <w:sz w:val="24"/>
          <w14:ligatures w14:val="none"/>
        </w:rPr>
        <w:t>activities,</w:t>
      </w:r>
      <w:r w:rsidR="005F7E3F" w:rsidRPr="00BD3935">
        <w:rPr>
          <w:rFonts w:ascii="Times New Roman" w:eastAsia="Calibri" w:hAnsi="Times New Roman" w:cs="Times New Roman"/>
          <w:bCs/>
          <w:kern w:val="0"/>
          <w:sz w:val="24"/>
          <w14:ligatures w14:val="none"/>
        </w:rPr>
        <w:t xml:space="preserve"> especially </w:t>
      </w:r>
      <w:r w:rsidR="00222290" w:rsidRPr="00BD3935">
        <w:rPr>
          <w:rFonts w:ascii="Times New Roman" w:eastAsia="Calibri" w:hAnsi="Times New Roman" w:cs="Times New Roman"/>
          <w:bCs/>
          <w:kern w:val="0"/>
          <w:sz w:val="24"/>
          <w14:ligatures w14:val="none"/>
        </w:rPr>
        <w:t>agriculture,</w:t>
      </w:r>
      <w:r w:rsidR="005F7E3F" w:rsidRPr="00BD3935">
        <w:rPr>
          <w:rFonts w:ascii="Times New Roman" w:eastAsia="Calibri" w:hAnsi="Times New Roman" w:cs="Times New Roman"/>
          <w:bCs/>
          <w:kern w:val="0"/>
          <w:sz w:val="24"/>
          <w14:ligatures w14:val="none"/>
        </w:rPr>
        <w:t xml:space="preserve"> are performed in this depth (Leul et al. 2023).  </w:t>
      </w:r>
      <w:r w:rsidR="00DE07A5" w:rsidRPr="00BD3935">
        <w:rPr>
          <w:rFonts w:ascii="Times New Roman" w:eastAsia="Calibri" w:hAnsi="Times New Roman" w:cs="Times New Roman"/>
          <w:bCs/>
          <w:kern w:val="0"/>
          <w:sz w:val="24"/>
          <w14:ligatures w14:val="none"/>
        </w:rPr>
        <w:t xml:space="preserve">Understanding SOC dynamics and drivers of carbon sequestration within soil horizons </w:t>
      </w:r>
      <w:r w:rsidR="00E308FF" w:rsidRPr="00BD3935">
        <w:rPr>
          <w:rFonts w:ascii="Times New Roman" w:eastAsia="Calibri" w:hAnsi="Times New Roman" w:cs="Times New Roman"/>
          <w:bCs/>
          <w:kern w:val="0"/>
          <w:sz w:val="24"/>
          <w14:ligatures w14:val="none"/>
        </w:rPr>
        <w:t>i</w:t>
      </w:r>
      <w:r w:rsidR="00DE07A5" w:rsidRPr="00BD3935">
        <w:rPr>
          <w:rFonts w:ascii="Times New Roman" w:eastAsia="Calibri" w:hAnsi="Times New Roman" w:cs="Times New Roman"/>
          <w:bCs/>
          <w:kern w:val="0"/>
          <w:sz w:val="24"/>
          <w14:ligatures w14:val="none"/>
        </w:rPr>
        <w:t xml:space="preserve">s </w:t>
      </w:r>
      <w:r w:rsidR="00E308FF" w:rsidRPr="00BD3935">
        <w:rPr>
          <w:rFonts w:ascii="Times New Roman" w:eastAsia="Calibri" w:hAnsi="Times New Roman" w:cs="Times New Roman"/>
          <w:bCs/>
          <w:kern w:val="0"/>
          <w:sz w:val="24"/>
          <w14:ligatures w14:val="none"/>
        </w:rPr>
        <w:t>crucial</w:t>
      </w:r>
      <w:r w:rsidR="00DE07A5" w:rsidRPr="00BD3935">
        <w:rPr>
          <w:rFonts w:ascii="Times New Roman" w:eastAsia="Calibri" w:hAnsi="Times New Roman" w:cs="Times New Roman"/>
          <w:bCs/>
          <w:kern w:val="0"/>
          <w:sz w:val="24"/>
          <w14:ligatures w14:val="none"/>
        </w:rPr>
        <w:t xml:space="preserve"> in predicting the impacts of land use changes on overall soil quality and carbon emissions (Pathakoti et al. 2024; Camacho et al. 2023; Damian et al. 2023).</w:t>
      </w:r>
      <w:r w:rsidR="00E308FF" w:rsidRPr="00BD3935">
        <w:t xml:space="preserve"> </w:t>
      </w:r>
      <w:r w:rsidR="00E308FF" w:rsidRPr="00BD3935">
        <w:rPr>
          <w:rFonts w:ascii="Times New Roman" w:eastAsia="Calibri" w:hAnsi="Times New Roman" w:cs="Times New Roman"/>
          <w:bCs/>
          <w:kern w:val="0"/>
          <w:sz w:val="24"/>
          <w14:ligatures w14:val="none"/>
        </w:rPr>
        <w:t xml:space="preserve">Therefore, an effective study about the spatio-temporal distribution and variability of SOC in distinct land use requires advanced geospatial and statistical approaches including Remote sensing, GIS, MLA and geostatistics </w:t>
      </w:r>
      <w:r w:rsidR="002A5527" w:rsidRPr="00BD3935">
        <w:rPr>
          <w:rFonts w:ascii="Times New Roman" w:eastAsia="Calibri" w:hAnsi="Times New Roman" w:cs="Times New Roman"/>
          <w:bCs/>
          <w:kern w:val="0"/>
          <w:sz w:val="24"/>
          <w14:ligatures w14:val="none"/>
        </w:rPr>
        <w:t>(</w:t>
      </w:r>
      <w:r w:rsidR="00973734" w:rsidRPr="00BD3935">
        <w:rPr>
          <w:rFonts w:ascii="Times New Roman" w:eastAsia="Calibri" w:hAnsi="Times New Roman" w:cs="Times New Roman"/>
          <w:bCs/>
          <w:kern w:val="0"/>
          <w:sz w:val="24"/>
          <w14:ligatures w14:val="none"/>
        </w:rPr>
        <w:t xml:space="preserve">Gao et al. 2024; Teodoro et al. 2024; </w:t>
      </w:r>
      <w:r w:rsidR="002A5527" w:rsidRPr="00BD3935">
        <w:rPr>
          <w:rFonts w:ascii="Times New Roman" w:hAnsi="Times New Roman" w:cs="Times New Roman"/>
          <w:sz w:val="24"/>
          <w:szCs w:val="24"/>
          <w:shd w:val="clear" w:color="auto" w:fill="FFFFFF"/>
        </w:rPr>
        <w:t>Zhang and Wang 2024</w:t>
      </w:r>
      <w:r w:rsidR="002A5527" w:rsidRPr="00BD3935">
        <w:rPr>
          <w:rFonts w:ascii="Arial" w:hAnsi="Arial" w:cs="Arial"/>
          <w:sz w:val="20"/>
          <w:szCs w:val="20"/>
          <w:shd w:val="clear" w:color="auto" w:fill="FFFFFF"/>
        </w:rPr>
        <w:t>)</w:t>
      </w:r>
      <w:r w:rsidR="00B01B28" w:rsidRPr="00BD3935">
        <w:rPr>
          <w:rFonts w:ascii="Arial" w:hAnsi="Arial" w:cs="Arial"/>
          <w:sz w:val="20"/>
          <w:szCs w:val="20"/>
          <w:shd w:val="clear" w:color="auto" w:fill="FFFFFF"/>
        </w:rPr>
        <w:t>.</w:t>
      </w:r>
    </w:p>
    <w:p w14:paraId="37F901E6" w14:textId="43C833BB" w:rsidR="007D255F" w:rsidRPr="00BD3935" w:rsidRDefault="007D255F" w:rsidP="00E74560">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 xml:space="preserve">Agricultural systems characterized by </w:t>
      </w:r>
      <w:r w:rsidR="008738CF" w:rsidRPr="00BD3935">
        <w:rPr>
          <w:rFonts w:ascii="Times New Roman" w:eastAsia="Calibri" w:hAnsi="Times New Roman" w:cs="Times New Roman"/>
          <w:bCs/>
          <w:kern w:val="0"/>
          <w:sz w:val="24"/>
          <w14:ligatures w14:val="none"/>
        </w:rPr>
        <w:t>extensification, and intensification</w:t>
      </w:r>
      <w:r w:rsidRPr="00BD3935">
        <w:rPr>
          <w:rFonts w:ascii="Times New Roman" w:eastAsia="Calibri" w:hAnsi="Times New Roman" w:cs="Times New Roman"/>
          <w:bCs/>
          <w:kern w:val="0"/>
          <w:sz w:val="24"/>
          <w14:ligatures w14:val="none"/>
        </w:rPr>
        <w:t xml:space="preserve"> have huge impacts on changes in land use and SOC stocks (</w:t>
      </w:r>
      <w:r w:rsidR="00F204A8" w:rsidRPr="00BD3935">
        <w:rPr>
          <w:rFonts w:ascii="Times New Roman" w:eastAsia="Calibri" w:hAnsi="Times New Roman" w:cs="Times New Roman"/>
          <w:bCs/>
          <w:kern w:val="0"/>
          <w:sz w:val="24"/>
          <w14:ligatures w14:val="none"/>
        </w:rPr>
        <w:t>Kitavi et al. 2024</w:t>
      </w:r>
      <w:r w:rsidRPr="00BD3935">
        <w:rPr>
          <w:rFonts w:ascii="Times New Roman" w:eastAsia="Calibri" w:hAnsi="Times New Roman" w:cs="Times New Roman"/>
          <w:bCs/>
          <w:kern w:val="0"/>
          <w:sz w:val="24"/>
          <w14:ligatures w14:val="none"/>
        </w:rPr>
        <w:t xml:space="preserve">; </w:t>
      </w:r>
      <w:r w:rsidR="00F204A8" w:rsidRPr="00BD3935">
        <w:rPr>
          <w:rFonts w:ascii="Times New Roman" w:eastAsia="Calibri" w:hAnsi="Times New Roman" w:cs="Times New Roman"/>
          <w:bCs/>
          <w:kern w:val="0"/>
          <w:sz w:val="24"/>
          <w14:ligatures w14:val="none"/>
        </w:rPr>
        <w:t>Sharma et al. 2024</w:t>
      </w:r>
      <w:r w:rsidRPr="00BD3935">
        <w:rPr>
          <w:rFonts w:ascii="Times New Roman" w:eastAsia="Calibri" w:hAnsi="Times New Roman" w:cs="Times New Roman"/>
          <w:bCs/>
          <w:kern w:val="0"/>
          <w:sz w:val="24"/>
          <w14:ligatures w14:val="none"/>
        </w:rPr>
        <w:t>). Th</w:t>
      </w:r>
      <w:r w:rsidR="00C149FE" w:rsidRPr="00BD3935">
        <w:rPr>
          <w:rFonts w:ascii="Times New Roman" w:eastAsia="Calibri" w:hAnsi="Times New Roman" w:cs="Times New Roman"/>
          <w:bCs/>
          <w:kern w:val="0"/>
          <w:sz w:val="24"/>
          <w14:ligatures w14:val="none"/>
        </w:rPr>
        <w:t>e</w:t>
      </w:r>
      <w:r w:rsidRPr="00BD3935">
        <w:rPr>
          <w:rFonts w:ascii="Times New Roman" w:eastAsia="Calibri" w:hAnsi="Times New Roman" w:cs="Times New Roman"/>
          <w:bCs/>
          <w:kern w:val="0"/>
          <w:sz w:val="24"/>
          <w14:ligatures w14:val="none"/>
        </w:rPr>
        <w:t>s</w:t>
      </w:r>
      <w:r w:rsidR="00C149FE" w:rsidRPr="00BD3935">
        <w:rPr>
          <w:rFonts w:ascii="Times New Roman" w:eastAsia="Calibri" w:hAnsi="Times New Roman" w:cs="Times New Roman"/>
          <w:bCs/>
          <w:kern w:val="0"/>
          <w:sz w:val="24"/>
          <w14:ligatures w14:val="none"/>
        </w:rPr>
        <w:t>e</w:t>
      </w:r>
      <w:r w:rsidRPr="00BD3935">
        <w:rPr>
          <w:rFonts w:ascii="Times New Roman" w:eastAsia="Calibri" w:hAnsi="Times New Roman" w:cs="Times New Roman"/>
          <w:bCs/>
          <w:kern w:val="0"/>
          <w:sz w:val="24"/>
          <w14:ligatures w14:val="none"/>
        </w:rPr>
        <w:t xml:space="preserve"> </w:t>
      </w:r>
      <w:r w:rsidR="00C149FE" w:rsidRPr="00BD3935">
        <w:rPr>
          <w:rFonts w:ascii="Times New Roman" w:eastAsia="Calibri" w:hAnsi="Times New Roman" w:cs="Times New Roman"/>
          <w:bCs/>
          <w:kern w:val="0"/>
          <w:sz w:val="24"/>
          <w14:ligatures w14:val="none"/>
        </w:rPr>
        <w:t>impacts are typically felt in</w:t>
      </w:r>
      <w:r w:rsidRPr="00BD3935">
        <w:rPr>
          <w:rFonts w:ascii="Times New Roman" w:eastAsia="Calibri" w:hAnsi="Times New Roman" w:cs="Times New Roman"/>
          <w:bCs/>
          <w:kern w:val="0"/>
          <w:sz w:val="24"/>
          <w14:ligatures w14:val="none"/>
        </w:rPr>
        <w:t xml:space="preserve"> the </w:t>
      </w:r>
      <w:r w:rsidR="00C149FE" w:rsidRPr="00BD3935">
        <w:rPr>
          <w:rFonts w:ascii="Times New Roman" w:eastAsia="Calibri" w:hAnsi="Times New Roman" w:cs="Times New Roman"/>
          <w:bCs/>
          <w:kern w:val="0"/>
          <w:sz w:val="24"/>
          <w14:ligatures w14:val="none"/>
        </w:rPr>
        <w:t>dense</w:t>
      </w:r>
      <w:r w:rsidRPr="00BD3935">
        <w:rPr>
          <w:rFonts w:ascii="Times New Roman" w:eastAsia="Calibri" w:hAnsi="Times New Roman" w:cs="Times New Roman"/>
          <w:bCs/>
          <w:kern w:val="0"/>
          <w:sz w:val="24"/>
          <w14:ligatures w14:val="none"/>
        </w:rPr>
        <w:t xml:space="preserve"> population growing </w:t>
      </w:r>
      <w:r w:rsidR="00C149FE" w:rsidRPr="00BD3935">
        <w:rPr>
          <w:rFonts w:ascii="Times New Roman" w:eastAsia="Calibri" w:hAnsi="Times New Roman" w:cs="Times New Roman"/>
          <w:bCs/>
          <w:kern w:val="0"/>
          <w:sz w:val="24"/>
          <w14:ligatures w14:val="none"/>
        </w:rPr>
        <w:t>regions</w:t>
      </w:r>
      <w:r w:rsidRPr="00BD3935">
        <w:rPr>
          <w:rFonts w:ascii="Times New Roman" w:eastAsia="Calibri" w:hAnsi="Times New Roman" w:cs="Times New Roman"/>
          <w:bCs/>
          <w:kern w:val="0"/>
          <w:sz w:val="24"/>
          <w14:ligatures w14:val="none"/>
        </w:rPr>
        <w:t xml:space="preserve"> </w:t>
      </w:r>
      <w:r w:rsidR="00C149FE" w:rsidRPr="00BD3935">
        <w:rPr>
          <w:rFonts w:ascii="Times New Roman" w:eastAsia="Calibri" w:hAnsi="Times New Roman" w:cs="Times New Roman"/>
          <w:bCs/>
          <w:kern w:val="0"/>
          <w:sz w:val="24"/>
          <w14:ligatures w14:val="none"/>
        </w:rPr>
        <w:t>such as</w:t>
      </w:r>
      <w:r w:rsidRPr="00BD3935">
        <w:rPr>
          <w:rFonts w:ascii="Times New Roman" w:eastAsia="Calibri" w:hAnsi="Times New Roman" w:cs="Times New Roman"/>
          <w:bCs/>
          <w:kern w:val="0"/>
          <w:sz w:val="24"/>
          <w14:ligatures w14:val="none"/>
        </w:rPr>
        <w:t xml:space="preserve"> Brazil where there </w:t>
      </w:r>
      <w:r w:rsidR="008738CF" w:rsidRPr="00BD3935">
        <w:rPr>
          <w:rFonts w:ascii="Times New Roman" w:eastAsia="Calibri" w:hAnsi="Times New Roman" w:cs="Times New Roman"/>
          <w:bCs/>
          <w:kern w:val="0"/>
          <w:sz w:val="24"/>
          <w14:ligatures w14:val="none"/>
        </w:rPr>
        <w:t>have</w:t>
      </w:r>
      <w:r w:rsidRPr="00BD3935">
        <w:rPr>
          <w:rFonts w:ascii="Times New Roman" w:eastAsia="Calibri" w:hAnsi="Times New Roman" w:cs="Times New Roman"/>
          <w:bCs/>
          <w:kern w:val="0"/>
          <w:sz w:val="24"/>
          <w14:ligatures w14:val="none"/>
        </w:rPr>
        <w:t xml:space="preserve"> been </w:t>
      </w:r>
      <w:r w:rsidR="00C149FE" w:rsidRPr="00BD3935">
        <w:rPr>
          <w:rFonts w:ascii="Times New Roman" w:eastAsia="Calibri" w:hAnsi="Times New Roman" w:cs="Times New Roman"/>
          <w:bCs/>
          <w:kern w:val="0"/>
          <w:sz w:val="24"/>
          <w14:ligatures w14:val="none"/>
        </w:rPr>
        <w:t xml:space="preserve">severe </w:t>
      </w:r>
      <w:r w:rsidR="00E6516A" w:rsidRPr="00BD3935">
        <w:rPr>
          <w:rFonts w:ascii="Times New Roman" w:eastAsia="Calibri" w:hAnsi="Times New Roman" w:cs="Times New Roman"/>
          <w:bCs/>
          <w:kern w:val="0"/>
          <w:sz w:val="24"/>
          <w14:ligatures w14:val="none"/>
        </w:rPr>
        <w:t xml:space="preserve">conversions from one land use to the other to increase food production </w:t>
      </w:r>
      <w:r w:rsidRPr="00BD3935">
        <w:rPr>
          <w:rFonts w:ascii="Times New Roman" w:eastAsia="Calibri" w:hAnsi="Times New Roman" w:cs="Times New Roman"/>
          <w:bCs/>
          <w:kern w:val="0"/>
          <w:sz w:val="24"/>
          <w14:ligatures w14:val="none"/>
        </w:rPr>
        <w:t>(</w:t>
      </w:r>
      <w:r w:rsidR="008738CF" w:rsidRPr="00BD3935">
        <w:rPr>
          <w:rFonts w:ascii="Times New Roman" w:eastAsia="Calibri" w:hAnsi="Times New Roman" w:cs="Times New Roman"/>
          <w:bCs/>
          <w:kern w:val="0"/>
          <w:sz w:val="24"/>
          <w14:ligatures w14:val="none"/>
        </w:rPr>
        <w:t>Cohn et al. 2016; Alkimim et al. 2015</w:t>
      </w:r>
      <w:r w:rsidRPr="00BD3935">
        <w:rPr>
          <w:rFonts w:ascii="Times New Roman" w:eastAsia="Calibri" w:hAnsi="Times New Roman" w:cs="Times New Roman"/>
          <w:bCs/>
          <w:kern w:val="0"/>
          <w:sz w:val="24"/>
          <w14:ligatures w14:val="none"/>
        </w:rPr>
        <w:t xml:space="preserve">). </w:t>
      </w:r>
      <w:r w:rsidR="008738CF" w:rsidRPr="00BD3935">
        <w:rPr>
          <w:rFonts w:ascii="Times New Roman" w:eastAsia="Calibri" w:hAnsi="Times New Roman" w:cs="Times New Roman"/>
          <w:bCs/>
          <w:kern w:val="0"/>
          <w:sz w:val="24"/>
          <w14:ligatures w14:val="none"/>
        </w:rPr>
        <w:t xml:space="preserve">Generally, in similar climate conditions, SOC stocks are believed to </w:t>
      </w:r>
      <w:r w:rsidR="007B3B20" w:rsidRPr="00BD3935">
        <w:rPr>
          <w:rFonts w:ascii="Times New Roman" w:eastAsia="Calibri" w:hAnsi="Times New Roman" w:cs="Times New Roman"/>
          <w:bCs/>
          <w:kern w:val="0"/>
          <w:sz w:val="24"/>
          <w14:ligatures w14:val="none"/>
        </w:rPr>
        <w:t>be higher</w:t>
      </w:r>
      <w:r w:rsidR="008738CF" w:rsidRPr="00BD3935">
        <w:rPr>
          <w:rFonts w:ascii="Times New Roman" w:eastAsia="Calibri" w:hAnsi="Times New Roman" w:cs="Times New Roman"/>
          <w:bCs/>
          <w:kern w:val="0"/>
          <w:sz w:val="24"/>
          <w14:ligatures w14:val="none"/>
        </w:rPr>
        <w:t xml:space="preserve"> in the forests, pasturelands, and grasslands when compared with croplands (Damian et al. 2023; Franzluebbers 2023; Padbhushan et al. 2022).</w:t>
      </w:r>
      <w:r w:rsidR="00F23ED9" w:rsidRPr="00BD3935">
        <w:rPr>
          <w:rFonts w:ascii="Times New Roman" w:eastAsia="Calibri" w:hAnsi="Times New Roman" w:cs="Times New Roman"/>
          <w:bCs/>
          <w:kern w:val="0"/>
          <w:sz w:val="24"/>
          <w14:ligatures w14:val="none"/>
        </w:rPr>
        <w:t xml:space="preserve"> In recent years this believe is not feasible in all geographical settings due to enhanced agricultural system such as CSA which has high potential for SOC enrichment in croplands (</w:t>
      </w:r>
      <w:r w:rsidR="00E74560" w:rsidRPr="00BD3935">
        <w:rPr>
          <w:rFonts w:ascii="Times New Roman" w:eastAsia="Calibri" w:hAnsi="Times New Roman" w:cs="Times New Roman"/>
          <w:bCs/>
          <w:kern w:val="0"/>
          <w:sz w:val="24"/>
          <w14:ligatures w14:val="none"/>
        </w:rPr>
        <w:t>Cerri et al. 2024; Nwaogu and Cherubin 2024; Sooryamol et al. 2024</w:t>
      </w:r>
      <w:r w:rsidR="00F23ED9" w:rsidRPr="00BD3935">
        <w:rPr>
          <w:rFonts w:ascii="Times New Roman" w:eastAsia="Calibri" w:hAnsi="Times New Roman" w:cs="Times New Roman"/>
          <w:bCs/>
          <w:kern w:val="0"/>
          <w:sz w:val="24"/>
          <w14:ligatures w14:val="none"/>
        </w:rPr>
        <w:t>).</w:t>
      </w:r>
      <w:r w:rsidR="009B3529" w:rsidRPr="00BD3935">
        <w:t xml:space="preserve"> </w:t>
      </w:r>
      <w:r w:rsidR="009B3529" w:rsidRPr="00BD3935">
        <w:rPr>
          <w:rFonts w:ascii="Times New Roman" w:eastAsia="Calibri" w:hAnsi="Times New Roman" w:cs="Times New Roman"/>
          <w:bCs/>
          <w:kern w:val="0"/>
          <w:sz w:val="24"/>
          <w14:ligatures w14:val="none"/>
        </w:rPr>
        <w:t>In Brazil for example, several agricultural policies have been introduced to enhance SOC through agriculture. Among the programs include the RenovaBio program (a federal biofuel policy), that certifies producers to receive C credits (CBIOs) (Cherubin et al. 2021), and the low-carbon agricultural policy</w:t>
      </w:r>
      <w:r w:rsidR="00481ADA" w:rsidRPr="00BD3935">
        <w:rPr>
          <w:rFonts w:ascii="Times New Roman" w:eastAsia="Calibri" w:hAnsi="Times New Roman" w:cs="Times New Roman"/>
          <w:bCs/>
          <w:kern w:val="0"/>
          <w:sz w:val="24"/>
          <w14:ligatures w14:val="none"/>
        </w:rPr>
        <w:t xml:space="preserve">, the </w:t>
      </w:r>
      <w:r w:rsidR="009B3529" w:rsidRPr="00BD3935">
        <w:rPr>
          <w:rFonts w:ascii="Times New Roman" w:eastAsia="Calibri" w:hAnsi="Times New Roman" w:cs="Times New Roman"/>
          <w:bCs/>
          <w:kern w:val="0"/>
          <w:sz w:val="24"/>
          <w14:ligatures w14:val="none"/>
        </w:rPr>
        <w:t xml:space="preserve">ABC plan </w:t>
      </w:r>
      <w:r w:rsidR="009B3529" w:rsidRPr="00BD3935">
        <w:rPr>
          <w:rFonts w:ascii="Times New Roman" w:eastAsia="Calibri" w:hAnsi="Times New Roman" w:cs="Times New Roman"/>
          <w:bCs/>
          <w:kern w:val="0"/>
          <w:sz w:val="24"/>
          <w:szCs w:val="24"/>
          <w14:ligatures w14:val="none"/>
        </w:rPr>
        <w:t>(</w:t>
      </w:r>
      <w:r w:rsidR="009B3529" w:rsidRPr="00BD3935">
        <w:rPr>
          <w:rFonts w:ascii="Times New Roman" w:hAnsi="Times New Roman" w:cs="Times New Roman"/>
          <w:sz w:val="24"/>
          <w:szCs w:val="24"/>
          <w:shd w:val="clear" w:color="auto" w:fill="FFFFFF"/>
        </w:rPr>
        <w:t>Rocha and Gonçalves 2024)</w:t>
      </w:r>
      <w:r w:rsidR="009B3529" w:rsidRPr="00BD3935">
        <w:rPr>
          <w:rFonts w:ascii="Times New Roman" w:eastAsia="Calibri" w:hAnsi="Times New Roman" w:cs="Times New Roman"/>
          <w:bCs/>
          <w:kern w:val="0"/>
          <w:sz w:val="24"/>
          <w:szCs w:val="24"/>
          <w14:ligatures w14:val="none"/>
        </w:rPr>
        <w:t>.</w:t>
      </w:r>
      <w:r w:rsidR="009B3529" w:rsidRPr="00BD3935">
        <w:rPr>
          <w:rFonts w:ascii="Times New Roman" w:eastAsia="Calibri" w:hAnsi="Times New Roman" w:cs="Times New Roman"/>
          <w:bCs/>
          <w:kern w:val="0"/>
          <w:sz w:val="24"/>
          <w14:ligatures w14:val="none"/>
        </w:rPr>
        <w:t xml:space="preserve"> </w:t>
      </w:r>
      <w:r w:rsidR="00DA736B" w:rsidRPr="00BD3935">
        <w:rPr>
          <w:rFonts w:ascii="Times New Roman" w:eastAsia="Calibri" w:hAnsi="Times New Roman" w:cs="Times New Roman"/>
          <w:bCs/>
          <w:kern w:val="0"/>
          <w:sz w:val="24"/>
          <w14:ligatures w14:val="none"/>
        </w:rPr>
        <w:t>These integrated agricultural systems in Brazil are promoting carbon stocks and food security in most regions of Brazil especially in the agricultural frontier States such as Mato Grosso State.</w:t>
      </w:r>
    </w:p>
    <w:p w14:paraId="629A890D" w14:textId="5F0D389D" w:rsidR="00562BFE" w:rsidRPr="00BD3935" w:rsidRDefault="00562BFE" w:rsidP="008F7F21">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 xml:space="preserve">Mato Grosso State contributes to about 30% of national production (CONAB, 2021; IMEA 2021; USDA, 2021), and is a major Brazilian agricultural producer in several food supply products and systems, such as soybean, maize, cotton, and meat, thereby making the State the largest in area of croplands (Margarido and Turolla 2024; FAO, 2020; Bolfe et al. 2024). Though there are few studies that dealt with land use changes in the region, but this is the first time a study has been conducted in Mato Grosso State focusing on longer-term spatial distribution and changes in SOC </w:t>
      </w:r>
      <w:r w:rsidRPr="00BD3935">
        <w:rPr>
          <w:rFonts w:ascii="Times New Roman" w:eastAsia="Calibri" w:hAnsi="Times New Roman" w:cs="Times New Roman"/>
          <w:bCs/>
          <w:kern w:val="0"/>
          <w:sz w:val="24"/>
          <w14:ligatures w14:val="none"/>
        </w:rPr>
        <w:lastRenderedPageBreak/>
        <w:t xml:space="preserve">stocks as induced by long term changes in land use. The study applied MLA and geostatistical techniques to assess and predict the status SOC stocks in the next 3 decades under croplands and other land use. The findings from the study might contribute to the adoption of more sustainable farming systems by the farmers. It could also encourage the stakeholders and government of Brazil and other nations (especially, developing countries) to make decisions and policies geared towards low carbon agriculture. In the long run, guaranteed rewards of food security, safety environment, and climate change mitigation by sinking excess atmospheric CO2 and sequestrating it in the soils as SOC stocks.   </w:t>
      </w:r>
    </w:p>
    <w:p w14:paraId="1CA22465" w14:textId="77777777" w:rsidR="00087850" w:rsidRPr="00BD3935" w:rsidRDefault="00087850" w:rsidP="00087850">
      <w:pPr>
        <w:spacing w:line="360" w:lineRule="auto"/>
        <w:jc w:val="both"/>
        <w:rPr>
          <w:rFonts w:ascii="Times New Roman" w:eastAsia="Calibri" w:hAnsi="Times New Roman" w:cs="Times New Roman"/>
          <w:b/>
          <w:kern w:val="0"/>
          <w:sz w:val="24"/>
          <w14:ligatures w14:val="none"/>
        </w:rPr>
      </w:pPr>
      <w:r w:rsidRPr="00BD3935">
        <w:rPr>
          <w:rFonts w:ascii="Times New Roman" w:eastAsia="Calibri" w:hAnsi="Times New Roman" w:cs="Times New Roman"/>
          <w:b/>
          <w:kern w:val="0"/>
          <w:sz w:val="24"/>
          <w14:ligatures w14:val="none"/>
        </w:rPr>
        <w:t>2. Materials and Methods</w:t>
      </w:r>
    </w:p>
    <w:p w14:paraId="135B0B10" w14:textId="77777777" w:rsidR="00087850" w:rsidRPr="00BD3935" w:rsidRDefault="00087850" w:rsidP="00087850">
      <w:pPr>
        <w:spacing w:line="360" w:lineRule="auto"/>
        <w:jc w:val="both"/>
        <w:rPr>
          <w:rFonts w:ascii="Times New Roman" w:eastAsia="Calibri" w:hAnsi="Times New Roman" w:cs="Times New Roman"/>
          <w:b/>
          <w:i/>
          <w:iCs/>
          <w:kern w:val="0"/>
          <w:sz w:val="24"/>
          <w14:ligatures w14:val="none"/>
        </w:rPr>
      </w:pPr>
      <w:r w:rsidRPr="00BD3935">
        <w:rPr>
          <w:rFonts w:ascii="Times New Roman" w:eastAsia="Calibri" w:hAnsi="Times New Roman" w:cs="Times New Roman"/>
          <w:b/>
          <w:kern w:val="0"/>
          <w:sz w:val="24"/>
          <w14:ligatures w14:val="none"/>
        </w:rPr>
        <w:t>2.1.</w:t>
      </w:r>
      <w:r w:rsidRPr="00BD3935">
        <w:rPr>
          <w:rFonts w:ascii="Times New Roman" w:eastAsia="Calibri" w:hAnsi="Times New Roman" w:cs="Times New Roman"/>
          <w:b/>
          <w:i/>
          <w:iCs/>
          <w:kern w:val="0"/>
          <w:sz w:val="24"/>
          <w14:ligatures w14:val="none"/>
        </w:rPr>
        <w:t xml:space="preserve"> Study area</w:t>
      </w:r>
    </w:p>
    <w:p w14:paraId="26C42C85" w14:textId="4B8AFBB2" w:rsidR="00087850" w:rsidRPr="00BD3935" w:rsidRDefault="00773239" w:rsidP="00773239">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Cs/>
          <w:kern w:val="0"/>
          <w:sz w:val="24"/>
          <w14:ligatures w14:val="none"/>
        </w:rPr>
        <w:t>Mato Grosso State is located within the latitude 9.4624° to 17.3142° S, and longitude 50.5144° to 59.2244° W, in the Central West region of Brazil (</w:t>
      </w:r>
      <w:r w:rsidRPr="00BD3935">
        <w:rPr>
          <w:rFonts w:ascii="Times New Roman" w:eastAsia="Calibri" w:hAnsi="Times New Roman" w:cs="Times New Roman"/>
          <w:b/>
          <w:kern w:val="0"/>
          <w:sz w:val="24"/>
          <w14:ligatures w14:val="none"/>
        </w:rPr>
        <w:t>Figure 1</w:t>
      </w:r>
      <w:r w:rsidRPr="00BD3935">
        <w:rPr>
          <w:rFonts w:ascii="Times New Roman" w:eastAsia="Calibri" w:hAnsi="Times New Roman" w:cs="Times New Roman"/>
          <w:bCs/>
          <w:kern w:val="0"/>
          <w:sz w:val="24"/>
          <w14:ligatures w14:val="none"/>
        </w:rPr>
        <w:t xml:space="preserve">). </w:t>
      </w:r>
      <w:r w:rsidR="00515417" w:rsidRPr="00BD3935">
        <w:rPr>
          <w:rFonts w:ascii="Times New Roman" w:eastAsia="Calibri" w:hAnsi="Times New Roman" w:cs="Times New Roman"/>
          <w:bCs/>
          <w:kern w:val="0"/>
          <w:sz w:val="24"/>
          <w14:ligatures w14:val="none"/>
        </w:rPr>
        <w:t xml:space="preserve">The State </w:t>
      </w:r>
      <w:r w:rsidR="00CC59D1" w:rsidRPr="00BD3935">
        <w:rPr>
          <w:rFonts w:ascii="Times New Roman" w:eastAsia="Calibri" w:hAnsi="Times New Roman" w:cs="Times New Roman"/>
          <w:bCs/>
          <w:kern w:val="0"/>
          <w:sz w:val="24"/>
          <w14:ligatures w14:val="none"/>
        </w:rPr>
        <w:t>is</w:t>
      </w:r>
      <w:r w:rsidR="00515417" w:rsidRPr="00BD3935">
        <w:rPr>
          <w:rFonts w:ascii="Times New Roman" w:eastAsia="Calibri" w:hAnsi="Times New Roman" w:cs="Times New Roman"/>
          <w:bCs/>
          <w:kern w:val="0"/>
          <w:sz w:val="24"/>
          <w14:ligatures w14:val="none"/>
        </w:rPr>
        <w:t xml:space="preserve"> among the</w:t>
      </w:r>
      <w:r w:rsidR="00CC59D1" w:rsidRPr="00BD3935">
        <w:rPr>
          <w:rFonts w:ascii="Times New Roman" w:eastAsia="Calibri" w:hAnsi="Times New Roman" w:cs="Times New Roman"/>
          <w:bCs/>
          <w:kern w:val="0"/>
          <w:sz w:val="24"/>
          <w14:ligatures w14:val="none"/>
        </w:rPr>
        <w:t xml:space="preserve"> largest </w:t>
      </w:r>
      <w:r w:rsidR="00515417" w:rsidRPr="00BD3935">
        <w:rPr>
          <w:rFonts w:ascii="Times New Roman" w:eastAsia="Calibri" w:hAnsi="Times New Roman" w:cs="Times New Roman"/>
          <w:bCs/>
          <w:kern w:val="0"/>
          <w:sz w:val="24"/>
          <w14:ligatures w14:val="none"/>
        </w:rPr>
        <w:t>States</w:t>
      </w:r>
      <w:r w:rsidR="00515417" w:rsidRPr="00BD3935">
        <w:t xml:space="preserve"> </w:t>
      </w:r>
      <w:r w:rsidR="00515417" w:rsidRPr="00BD3935">
        <w:rPr>
          <w:rFonts w:ascii="Times New Roman" w:hAnsi="Times New Roman" w:cs="Times New Roman"/>
          <w:sz w:val="24"/>
          <w:szCs w:val="24"/>
        </w:rPr>
        <w:t xml:space="preserve">in Brazil and is found </w:t>
      </w:r>
      <w:r w:rsidR="00515417" w:rsidRPr="00BD3935">
        <w:rPr>
          <w:rFonts w:ascii="Times New Roman" w:eastAsia="Calibri" w:hAnsi="Times New Roman" w:cs="Times New Roman"/>
          <w:bCs/>
          <w:kern w:val="0"/>
          <w:sz w:val="24"/>
          <w:szCs w:val="24"/>
          <w14:ligatures w14:val="none"/>
        </w:rPr>
        <w:t xml:space="preserve">in the It has an area of </w:t>
      </w:r>
      <w:r w:rsidR="00CC59D1" w:rsidRPr="00BD3935">
        <w:rPr>
          <w:rFonts w:ascii="Times New Roman" w:eastAsia="Calibri" w:hAnsi="Times New Roman" w:cs="Times New Roman"/>
          <w:bCs/>
          <w:kern w:val="0"/>
          <w:sz w:val="24"/>
          <w:szCs w:val="24"/>
          <w14:ligatures w14:val="none"/>
        </w:rPr>
        <w:t>903k km</w:t>
      </w:r>
      <w:r w:rsidR="00CC59D1" w:rsidRPr="00BD3935">
        <w:rPr>
          <w:rFonts w:ascii="Times New Roman" w:eastAsia="Calibri" w:hAnsi="Times New Roman" w:cs="Times New Roman"/>
          <w:bCs/>
          <w:kern w:val="0"/>
          <w:sz w:val="24"/>
          <w:szCs w:val="24"/>
          <w:vertAlign w:val="superscript"/>
          <w14:ligatures w14:val="none"/>
        </w:rPr>
        <w:t>2</w:t>
      </w:r>
      <w:r w:rsidR="00CC59D1" w:rsidRPr="00BD3935">
        <w:rPr>
          <w:rFonts w:ascii="Times New Roman" w:eastAsia="Calibri" w:hAnsi="Times New Roman" w:cs="Times New Roman"/>
          <w:bCs/>
          <w:kern w:val="0"/>
          <w:sz w:val="24"/>
          <w:szCs w:val="24"/>
          <w14:ligatures w14:val="none"/>
        </w:rPr>
        <w:t xml:space="preserve"> and a population of 3.66 million in 2022</w:t>
      </w:r>
      <w:r w:rsidR="00CC59D1" w:rsidRPr="00BD3935">
        <w:rPr>
          <w:rFonts w:ascii="Times New Roman" w:eastAsia="Calibri" w:hAnsi="Times New Roman" w:cs="Times New Roman"/>
          <w:bCs/>
          <w:kern w:val="0"/>
          <w:sz w:val="24"/>
          <w14:ligatures w14:val="none"/>
        </w:rPr>
        <w:t xml:space="preserve">. </w:t>
      </w:r>
      <w:r w:rsidR="00C858D6" w:rsidRPr="00BD3935">
        <w:rPr>
          <w:rFonts w:ascii="Times New Roman" w:eastAsia="Calibri" w:hAnsi="Times New Roman" w:cs="Times New Roman"/>
          <w:bCs/>
          <w:kern w:val="0"/>
          <w:sz w:val="24"/>
          <w14:ligatures w14:val="none"/>
        </w:rPr>
        <w:t>If Mato Grosso State was a country, it would be the world’s 33rd largest country, being almost as large as Venezuela and Nigeria</w:t>
      </w:r>
      <w:r w:rsidR="00C858D6" w:rsidRPr="00BD3935">
        <w:t xml:space="preserve"> (</w:t>
      </w:r>
      <w:r w:rsidR="00C858D6" w:rsidRPr="00BD3935">
        <w:rPr>
          <w:rFonts w:ascii="Times New Roman" w:eastAsia="Calibri" w:hAnsi="Times New Roman" w:cs="Times New Roman"/>
          <w:bCs/>
          <w:kern w:val="0"/>
          <w:sz w:val="24"/>
          <w14:ligatures w14:val="none"/>
        </w:rPr>
        <w:t>Simoes et al. 2020).</w:t>
      </w:r>
      <w:r w:rsidR="00515417" w:rsidRPr="00BD3935">
        <w:rPr>
          <w:rFonts w:ascii="Times New Roman" w:eastAsia="Calibri" w:hAnsi="Times New Roman" w:cs="Times New Roman"/>
          <w:bCs/>
          <w:kern w:val="0"/>
          <w:sz w:val="24"/>
          <w14:ligatures w14:val="none"/>
        </w:rPr>
        <w:t xml:space="preserve"> </w:t>
      </w:r>
      <w:r w:rsidR="00FB2065" w:rsidRPr="00BD3935">
        <w:rPr>
          <w:rFonts w:ascii="Times New Roman" w:eastAsia="Calibri" w:hAnsi="Times New Roman" w:cs="Times New Roman"/>
          <w:bCs/>
          <w:kern w:val="0"/>
          <w:sz w:val="24"/>
          <w14:ligatures w14:val="none"/>
        </w:rPr>
        <w:t xml:space="preserve">Mato Grosso </w:t>
      </w:r>
      <w:r w:rsidRPr="00BD3935">
        <w:rPr>
          <w:rFonts w:ascii="Times New Roman" w:eastAsia="Calibri" w:hAnsi="Times New Roman" w:cs="Times New Roman"/>
          <w:bCs/>
          <w:kern w:val="0"/>
          <w:sz w:val="24"/>
          <w14:ligatures w14:val="none"/>
        </w:rPr>
        <w:t xml:space="preserve">State </w:t>
      </w:r>
      <w:r w:rsidR="00FB2065" w:rsidRPr="00BD3935">
        <w:rPr>
          <w:rFonts w:ascii="Times New Roman" w:eastAsia="Calibri" w:hAnsi="Times New Roman" w:cs="Times New Roman"/>
          <w:bCs/>
          <w:kern w:val="0"/>
          <w:sz w:val="24"/>
          <w14:ligatures w14:val="none"/>
        </w:rPr>
        <w:t xml:space="preserve">spans its territory between Tropical Central Brazil and Equatorial. </w:t>
      </w:r>
      <w:r w:rsidR="007B3E70" w:rsidRPr="00BD3935">
        <w:rPr>
          <w:rFonts w:ascii="Times New Roman" w:eastAsia="Calibri" w:hAnsi="Times New Roman" w:cs="Times New Roman"/>
          <w:bCs/>
          <w:kern w:val="0"/>
          <w:sz w:val="24"/>
          <w14:ligatures w14:val="none"/>
        </w:rPr>
        <w:t xml:space="preserve">It is the only State in Brazil </w:t>
      </w:r>
      <w:r w:rsidR="00515417" w:rsidRPr="00BD3935">
        <w:rPr>
          <w:rFonts w:ascii="Times New Roman" w:eastAsia="Calibri" w:hAnsi="Times New Roman" w:cs="Times New Roman"/>
          <w:bCs/>
          <w:kern w:val="0"/>
          <w:sz w:val="24"/>
          <w14:ligatures w14:val="none"/>
        </w:rPr>
        <w:t xml:space="preserve">which </w:t>
      </w:r>
      <w:r w:rsidR="007B3E70" w:rsidRPr="00BD3935">
        <w:rPr>
          <w:rFonts w:ascii="Times New Roman" w:eastAsia="Calibri" w:hAnsi="Times New Roman" w:cs="Times New Roman"/>
          <w:bCs/>
          <w:kern w:val="0"/>
          <w:sz w:val="24"/>
          <w14:ligatures w14:val="none"/>
        </w:rPr>
        <w:t xml:space="preserve">has Amazon, Cerrado, </w:t>
      </w:r>
      <w:r w:rsidR="002E2B6A" w:rsidRPr="00BD3935">
        <w:rPr>
          <w:rFonts w:ascii="Times New Roman" w:eastAsia="Calibri" w:hAnsi="Times New Roman" w:cs="Times New Roman"/>
          <w:bCs/>
          <w:kern w:val="0"/>
          <w:sz w:val="24"/>
          <w14:ligatures w14:val="none"/>
        </w:rPr>
        <w:t xml:space="preserve">Atlantic Forests, </w:t>
      </w:r>
      <w:r w:rsidR="007B3E70" w:rsidRPr="00BD3935">
        <w:rPr>
          <w:rFonts w:ascii="Times New Roman" w:eastAsia="Calibri" w:hAnsi="Times New Roman" w:cs="Times New Roman"/>
          <w:bCs/>
          <w:kern w:val="0"/>
          <w:sz w:val="24"/>
          <w14:ligatures w14:val="none"/>
        </w:rPr>
        <w:t xml:space="preserve">and Pantanal, representing </w:t>
      </w:r>
      <w:r w:rsidR="002E2B6A" w:rsidRPr="00BD3935">
        <w:rPr>
          <w:rFonts w:ascii="Times New Roman" w:eastAsia="Calibri" w:hAnsi="Times New Roman" w:cs="Times New Roman"/>
          <w:bCs/>
          <w:kern w:val="0"/>
          <w:sz w:val="24"/>
          <w14:ligatures w14:val="none"/>
        </w:rPr>
        <w:t>four</w:t>
      </w:r>
      <w:r w:rsidR="007B3E70" w:rsidRPr="00BD3935">
        <w:rPr>
          <w:rFonts w:ascii="Times New Roman" w:eastAsia="Calibri" w:hAnsi="Times New Roman" w:cs="Times New Roman"/>
          <w:bCs/>
          <w:kern w:val="0"/>
          <w:sz w:val="24"/>
          <w14:ligatures w14:val="none"/>
        </w:rPr>
        <w:t xml:space="preserve"> of the six biomes in Brazil. </w:t>
      </w:r>
      <w:r w:rsidR="006D565E" w:rsidRPr="00BD3935">
        <w:rPr>
          <w:rFonts w:ascii="Times New Roman" w:eastAsia="Calibri" w:hAnsi="Times New Roman" w:cs="Times New Roman"/>
          <w:bCs/>
          <w:kern w:val="0"/>
          <w:sz w:val="24"/>
          <w14:ligatures w14:val="none"/>
        </w:rPr>
        <w:t xml:space="preserve">Mato Grosso </w:t>
      </w:r>
      <w:r w:rsidRPr="00BD3935">
        <w:rPr>
          <w:rFonts w:ascii="Times New Roman" w:eastAsia="Calibri" w:hAnsi="Times New Roman" w:cs="Times New Roman"/>
          <w:bCs/>
          <w:kern w:val="0"/>
          <w:sz w:val="24"/>
          <w14:ligatures w14:val="none"/>
        </w:rPr>
        <w:t xml:space="preserve">State </w:t>
      </w:r>
      <w:r w:rsidR="006D565E" w:rsidRPr="00BD3935">
        <w:rPr>
          <w:rFonts w:ascii="Times New Roman" w:eastAsia="Calibri" w:hAnsi="Times New Roman" w:cs="Times New Roman"/>
          <w:bCs/>
          <w:kern w:val="0"/>
          <w:sz w:val="24"/>
          <w14:ligatures w14:val="none"/>
        </w:rPr>
        <w:t xml:space="preserve">is the most geographically dynamic region within South America because it has diverse agro-ecological features including vegetation, land use, climate, and altitude (which ranged from 24 to 1000 m above sea level) (Teodoro et al.2024). </w:t>
      </w:r>
      <w:r w:rsidR="00FB2065" w:rsidRPr="00BD3935">
        <w:rPr>
          <w:rFonts w:ascii="Times New Roman" w:eastAsia="Calibri" w:hAnsi="Times New Roman" w:cs="Times New Roman"/>
          <w:bCs/>
          <w:kern w:val="0"/>
          <w:sz w:val="24"/>
          <w14:ligatures w14:val="none"/>
        </w:rPr>
        <w:t xml:space="preserve">The average annual precipitation is 1700 mm, </w:t>
      </w:r>
      <w:r w:rsidR="007C130C" w:rsidRPr="00BD3935">
        <w:rPr>
          <w:rFonts w:ascii="Times New Roman" w:eastAsia="Calibri" w:hAnsi="Times New Roman" w:cs="Times New Roman"/>
          <w:bCs/>
          <w:kern w:val="0"/>
          <w:sz w:val="24"/>
          <w14:ligatures w14:val="none"/>
        </w:rPr>
        <w:t>which ranges</w:t>
      </w:r>
      <w:r w:rsidR="00FB2065" w:rsidRPr="00BD3935">
        <w:rPr>
          <w:rFonts w:ascii="Times New Roman" w:eastAsia="Calibri" w:hAnsi="Times New Roman" w:cs="Times New Roman"/>
          <w:bCs/>
          <w:kern w:val="0"/>
          <w:sz w:val="24"/>
          <w14:ligatures w14:val="none"/>
        </w:rPr>
        <w:t xml:space="preserve"> </w:t>
      </w:r>
      <w:r w:rsidR="007C130C" w:rsidRPr="00BD3935">
        <w:rPr>
          <w:rFonts w:ascii="Times New Roman" w:eastAsia="Calibri" w:hAnsi="Times New Roman" w:cs="Times New Roman"/>
          <w:bCs/>
          <w:kern w:val="0"/>
          <w:sz w:val="24"/>
          <w14:ligatures w14:val="none"/>
        </w:rPr>
        <w:t>between</w:t>
      </w:r>
      <w:r w:rsidR="00FB2065" w:rsidRPr="00BD3935">
        <w:rPr>
          <w:rFonts w:ascii="Times New Roman" w:eastAsia="Calibri" w:hAnsi="Times New Roman" w:cs="Times New Roman"/>
          <w:bCs/>
          <w:kern w:val="0"/>
          <w:sz w:val="24"/>
          <w14:ligatures w14:val="none"/>
        </w:rPr>
        <w:t xml:space="preserve"> 1200 mm </w:t>
      </w:r>
      <w:r w:rsidR="007C130C" w:rsidRPr="00BD3935">
        <w:rPr>
          <w:rFonts w:ascii="Times New Roman" w:eastAsia="Calibri" w:hAnsi="Times New Roman" w:cs="Times New Roman"/>
          <w:bCs/>
          <w:kern w:val="0"/>
          <w:sz w:val="24"/>
          <w14:ligatures w14:val="none"/>
        </w:rPr>
        <w:t>and</w:t>
      </w:r>
      <w:r w:rsidR="00FB2065" w:rsidRPr="00BD3935">
        <w:rPr>
          <w:rFonts w:ascii="Times New Roman" w:eastAsia="Calibri" w:hAnsi="Times New Roman" w:cs="Times New Roman"/>
          <w:bCs/>
          <w:kern w:val="0"/>
          <w:sz w:val="24"/>
          <w14:ligatures w14:val="none"/>
        </w:rPr>
        <w:t xml:space="preserve"> 2000 mm (Duo et al. 2023).</w:t>
      </w:r>
      <w:r w:rsidR="00B43C89" w:rsidRPr="00BD3935">
        <w:t xml:space="preserve"> </w:t>
      </w:r>
      <w:r w:rsidR="00B43C89" w:rsidRPr="00BD3935">
        <w:rPr>
          <w:rFonts w:ascii="Times New Roman" w:eastAsia="Calibri" w:hAnsi="Times New Roman" w:cs="Times New Roman"/>
          <w:bCs/>
          <w:kern w:val="0"/>
          <w:sz w:val="24"/>
          <w14:ligatures w14:val="none"/>
        </w:rPr>
        <w:t xml:space="preserve">Mato Grosso state is a major Brazilian agricultural producer in several supply chains, such as cotton, meat, and grains (corn and soybean). </w:t>
      </w:r>
      <w:r w:rsidRPr="00BD3935">
        <w:rPr>
          <w:rFonts w:ascii="Times New Roman" w:eastAsia="Calibri" w:hAnsi="Times New Roman" w:cs="Times New Roman"/>
          <w:bCs/>
          <w:kern w:val="0"/>
          <w:sz w:val="24"/>
          <w14:ligatures w14:val="none"/>
        </w:rPr>
        <w:t xml:space="preserve">Mato Grosso </w:t>
      </w:r>
      <w:r w:rsidR="00515417" w:rsidRPr="00BD3935">
        <w:rPr>
          <w:rFonts w:ascii="Times New Roman" w:eastAsia="Calibri" w:hAnsi="Times New Roman" w:cs="Times New Roman"/>
          <w:bCs/>
          <w:kern w:val="0"/>
          <w:sz w:val="24"/>
          <w14:ligatures w14:val="none"/>
        </w:rPr>
        <w:t xml:space="preserve">State </w:t>
      </w:r>
      <w:r w:rsidR="00B43C89" w:rsidRPr="00BD3935">
        <w:rPr>
          <w:rFonts w:ascii="Times New Roman" w:eastAsia="Calibri" w:hAnsi="Times New Roman" w:cs="Times New Roman"/>
          <w:bCs/>
          <w:kern w:val="0"/>
          <w:sz w:val="24"/>
          <w14:ligatures w14:val="none"/>
        </w:rPr>
        <w:t xml:space="preserve">is the </w:t>
      </w:r>
      <w:r w:rsidR="00515417" w:rsidRPr="00BD3935">
        <w:rPr>
          <w:rFonts w:ascii="Times New Roman" w:eastAsia="Calibri" w:hAnsi="Times New Roman" w:cs="Times New Roman"/>
          <w:bCs/>
          <w:kern w:val="0"/>
          <w:sz w:val="24"/>
          <w14:ligatures w14:val="none"/>
        </w:rPr>
        <w:t>third largest</w:t>
      </w:r>
      <w:r w:rsidR="00B43C89" w:rsidRPr="00BD3935">
        <w:rPr>
          <w:rFonts w:ascii="Times New Roman" w:eastAsia="Calibri" w:hAnsi="Times New Roman" w:cs="Times New Roman"/>
          <w:bCs/>
          <w:kern w:val="0"/>
          <w:sz w:val="24"/>
          <w14:ligatures w14:val="none"/>
        </w:rPr>
        <w:t xml:space="preserve"> in </w:t>
      </w:r>
      <w:r w:rsidR="007C130C" w:rsidRPr="00BD3935">
        <w:rPr>
          <w:rFonts w:ascii="Times New Roman" w:eastAsia="Calibri" w:hAnsi="Times New Roman" w:cs="Times New Roman"/>
          <w:bCs/>
          <w:kern w:val="0"/>
          <w:sz w:val="24"/>
          <w14:ligatures w14:val="none"/>
        </w:rPr>
        <w:t>landmass</w:t>
      </w:r>
      <w:r w:rsidR="00B43C89" w:rsidRPr="00BD3935">
        <w:rPr>
          <w:rFonts w:ascii="Times New Roman" w:eastAsia="Calibri" w:hAnsi="Times New Roman" w:cs="Times New Roman"/>
          <w:bCs/>
          <w:kern w:val="0"/>
          <w:sz w:val="24"/>
          <w14:ligatures w14:val="none"/>
        </w:rPr>
        <w:t xml:space="preserve">, extending over 90 million ha (Miranda et al., 2017). The 2020/2021 harvest </w:t>
      </w:r>
      <w:r w:rsidR="007C130C" w:rsidRPr="00BD3935">
        <w:rPr>
          <w:rFonts w:ascii="Times New Roman" w:eastAsia="Calibri" w:hAnsi="Times New Roman" w:cs="Times New Roman"/>
          <w:bCs/>
          <w:kern w:val="0"/>
          <w:sz w:val="24"/>
          <w14:ligatures w14:val="none"/>
        </w:rPr>
        <w:t xml:space="preserve">in this State </w:t>
      </w:r>
      <w:r w:rsidR="00B43C89" w:rsidRPr="00BD3935">
        <w:rPr>
          <w:rFonts w:ascii="Times New Roman" w:eastAsia="Calibri" w:hAnsi="Times New Roman" w:cs="Times New Roman"/>
          <w:bCs/>
          <w:kern w:val="0"/>
          <w:sz w:val="24"/>
          <w14:ligatures w14:val="none"/>
        </w:rPr>
        <w:t>estimates soybean production at 36 million t</w:t>
      </w:r>
      <w:r w:rsidR="007C130C" w:rsidRPr="00BD3935">
        <w:rPr>
          <w:rFonts w:ascii="Times New Roman" w:eastAsia="Calibri" w:hAnsi="Times New Roman" w:cs="Times New Roman"/>
          <w:bCs/>
          <w:kern w:val="0"/>
          <w:sz w:val="24"/>
          <w14:ligatures w14:val="none"/>
        </w:rPr>
        <w:t>ons</w:t>
      </w:r>
      <w:r w:rsidR="00B43C89" w:rsidRPr="00BD3935">
        <w:rPr>
          <w:rFonts w:ascii="Times New Roman" w:eastAsia="Calibri" w:hAnsi="Times New Roman" w:cs="Times New Roman"/>
          <w:bCs/>
          <w:kern w:val="0"/>
          <w:sz w:val="24"/>
          <w14:ligatures w14:val="none"/>
        </w:rPr>
        <w:t xml:space="preserve">, </w:t>
      </w:r>
      <w:r w:rsidR="007C130C" w:rsidRPr="00BD3935">
        <w:rPr>
          <w:rFonts w:ascii="Times New Roman" w:eastAsia="Calibri" w:hAnsi="Times New Roman" w:cs="Times New Roman"/>
          <w:bCs/>
          <w:kern w:val="0"/>
          <w:sz w:val="24"/>
          <w14:ligatures w14:val="none"/>
        </w:rPr>
        <w:t>approximately</w:t>
      </w:r>
      <w:r w:rsidR="00B43C89" w:rsidRPr="00BD3935">
        <w:rPr>
          <w:rFonts w:ascii="Times New Roman" w:eastAsia="Calibri" w:hAnsi="Times New Roman" w:cs="Times New Roman"/>
          <w:bCs/>
          <w:kern w:val="0"/>
          <w:sz w:val="24"/>
          <w14:ligatures w14:val="none"/>
        </w:rPr>
        <w:t xml:space="preserve"> 30% of national production (CONAB, 2021; IMEA 2021; USDA, 2021).</w:t>
      </w:r>
    </w:p>
    <w:p w14:paraId="235225E9" w14:textId="5070FD08" w:rsidR="009E22E9" w:rsidRPr="00BD3935" w:rsidRDefault="009E22E9" w:rsidP="00087850">
      <w:pPr>
        <w:spacing w:line="360" w:lineRule="auto"/>
        <w:jc w:val="both"/>
        <w:rPr>
          <w:rFonts w:ascii="Times New Roman" w:eastAsia="Calibri" w:hAnsi="Times New Roman" w:cs="Times New Roman"/>
          <w:b/>
          <w:kern w:val="0"/>
          <w:sz w:val="24"/>
          <w14:ligatures w14:val="none"/>
        </w:rPr>
      </w:pPr>
      <w:r w:rsidRPr="00BD3935">
        <w:rPr>
          <w:rFonts w:ascii="Times New Roman" w:eastAsia="Calibri" w:hAnsi="Times New Roman" w:cs="Times New Roman"/>
          <w:b/>
          <w:noProof/>
          <w:kern w:val="0"/>
          <w:sz w:val="24"/>
          <w14:ligatures w14:val="none"/>
        </w:rPr>
        <w:lastRenderedPageBreak/>
        <w:drawing>
          <wp:inline distT="0" distB="0" distL="0" distR="0" wp14:anchorId="19A7EABC" wp14:editId="7BBA424A">
            <wp:extent cx="6172200" cy="2914650"/>
            <wp:effectExtent l="19050" t="19050" r="19050" b="19050"/>
            <wp:docPr id="170925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4133" name=""/>
                    <pic:cNvPicPr/>
                  </pic:nvPicPr>
                  <pic:blipFill>
                    <a:blip r:embed="rId5"/>
                    <a:stretch>
                      <a:fillRect/>
                    </a:stretch>
                  </pic:blipFill>
                  <pic:spPr>
                    <a:xfrm>
                      <a:off x="0" y="0"/>
                      <a:ext cx="6173068" cy="2915060"/>
                    </a:xfrm>
                    <a:prstGeom prst="rect">
                      <a:avLst/>
                    </a:prstGeom>
                    <a:ln>
                      <a:solidFill>
                        <a:schemeClr val="bg1">
                          <a:lumMod val="85000"/>
                        </a:schemeClr>
                      </a:solidFill>
                    </a:ln>
                  </pic:spPr>
                </pic:pic>
              </a:graphicData>
            </a:graphic>
          </wp:inline>
        </w:drawing>
      </w:r>
    </w:p>
    <w:p w14:paraId="6AE919FE" w14:textId="6D0E83FD" w:rsidR="00087850" w:rsidRPr="00BD3935" w:rsidRDefault="00087850" w:rsidP="00087850">
      <w:pPr>
        <w:spacing w:line="360" w:lineRule="auto"/>
        <w:jc w:val="both"/>
        <w:rPr>
          <w:rFonts w:ascii="Times New Roman" w:eastAsia="Calibri" w:hAnsi="Times New Roman" w:cs="Times New Roman"/>
          <w:bCs/>
          <w:kern w:val="0"/>
          <w:sz w:val="24"/>
          <w14:ligatures w14:val="none"/>
        </w:rPr>
      </w:pPr>
      <w:r w:rsidRPr="00BD3935">
        <w:rPr>
          <w:rFonts w:ascii="Times New Roman" w:eastAsia="Calibri" w:hAnsi="Times New Roman" w:cs="Times New Roman"/>
          <w:b/>
          <w:kern w:val="0"/>
          <w:sz w:val="24"/>
          <w14:ligatures w14:val="none"/>
        </w:rPr>
        <w:t>Figure 1</w:t>
      </w:r>
      <w:r w:rsidRPr="00BD3935">
        <w:rPr>
          <w:rFonts w:ascii="Times New Roman" w:eastAsia="Calibri" w:hAnsi="Times New Roman" w:cs="Times New Roman"/>
          <w:bCs/>
          <w:kern w:val="0"/>
          <w:sz w:val="24"/>
          <w14:ligatures w14:val="none"/>
        </w:rPr>
        <w:t>. Map of South America showing Brazil and Ma</w:t>
      </w:r>
      <w:r w:rsidR="00B07DE2" w:rsidRPr="00BD3935">
        <w:rPr>
          <w:rFonts w:ascii="Times New Roman" w:eastAsia="Calibri" w:hAnsi="Times New Roman" w:cs="Times New Roman"/>
          <w:bCs/>
          <w:kern w:val="0"/>
          <w:sz w:val="24"/>
          <w14:ligatures w14:val="none"/>
        </w:rPr>
        <w:t>t</w:t>
      </w:r>
      <w:r w:rsidRPr="00BD3935">
        <w:rPr>
          <w:rFonts w:ascii="Times New Roman" w:eastAsia="Calibri" w:hAnsi="Times New Roman" w:cs="Times New Roman"/>
          <w:bCs/>
          <w:kern w:val="0"/>
          <w:sz w:val="24"/>
          <w14:ligatures w14:val="none"/>
        </w:rPr>
        <w:t>o Grosso State, the study area</w:t>
      </w:r>
    </w:p>
    <w:p w14:paraId="3BA60332" w14:textId="5EC99C1C" w:rsidR="00087850" w:rsidRPr="00BD3935" w:rsidRDefault="00087850" w:rsidP="00087850">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b/>
          <w:noProof/>
          <w:kern w:val="0"/>
          <w:sz w:val="24"/>
          <w14:ligatures w14:val="none"/>
        </w:rPr>
        <w:drawing>
          <wp:anchor distT="0" distB="0" distL="114300" distR="114300" simplePos="0" relativeHeight="251736064" behindDoc="0" locked="0" layoutInCell="1" allowOverlap="1" wp14:anchorId="5C019C4D" wp14:editId="66DC8809">
            <wp:simplePos x="0" y="0"/>
            <wp:positionH relativeFrom="margin">
              <wp:posOffset>323850</wp:posOffset>
            </wp:positionH>
            <wp:positionV relativeFrom="paragraph">
              <wp:posOffset>246380</wp:posOffset>
            </wp:positionV>
            <wp:extent cx="5735320" cy="3600450"/>
            <wp:effectExtent l="19050" t="19050" r="17780" b="19050"/>
            <wp:wrapSquare wrapText="bothSides"/>
            <wp:docPr id="1" name="Picture 1" descr="C:\Users\HP\Desktop\Dr Chu\flow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r Chu\flowcha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5320" cy="360045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AD566FC" w14:textId="093F5C6E" w:rsidR="00087850" w:rsidRPr="00BD3935" w:rsidRDefault="00087850" w:rsidP="00087850">
      <w:pPr>
        <w:spacing w:line="360" w:lineRule="auto"/>
        <w:jc w:val="both"/>
        <w:rPr>
          <w:rFonts w:ascii="Times New Roman" w:eastAsia="Calibri" w:hAnsi="Times New Roman" w:cs="Times New Roman"/>
          <w:kern w:val="0"/>
          <w:sz w:val="24"/>
          <w14:ligatures w14:val="none"/>
        </w:rPr>
      </w:pPr>
    </w:p>
    <w:p w14:paraId="7232F939" w14:textId="4881E4AB" w:rsidR="00087850" w:rsidRPr="00BD3935" w:rsidRDefault="00087850" w:rsidP="00087850">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b/>
          <w:bCs/>
          <w:kern w:val="0"/>
          <w:sz w:val="24"/>
          <w14:ligatures w14:val="none"/>
        </w:rPr>
        <w:t>Figure 2</w:t>
      </w:r>
      <w:r w:rsidRPr="00BD3935">
        <w:rPr>
          <w:rFonts w:ascii="Times New Roman" w:eastAsia="Calibri" w:hAnsi="Times New Roman" w:cs="Times New Roman"/>
          <w:kern w:val="0"/>
          <w:sz w:val="24"/>
          <w14:ligatures w14:val="none"/>
        </w:rPr>
        <w:t>. Flowchart of research methodology.</w:t>
      </w:r>
      <w:r w:rsidR="00AC01C2" w:rsidRPr="00BD3935">
        <w:rPr>
          <w:rFonts w:ascii="Times New Roman" w:eastAsia="Calibri" w:hAnsi="Times New Roman" w:cs="Times New Roman"/>
          <w:kern w:val="0"/>
          <w:sz w:val="24"/>
          <w14:ligatures w14:val="none"/>
        </w:rPr>
        <w:t xml:space="preserve"> </w:t>
      </w:r>
      <w:r w:rsidR="009F2407" w:rsidRPr="00BD3935">
        <w:rPr>
          <w:rFonts w:ascii="Times New Roman" w:eastAsia="Calibri" w:hAnsi="Times New Roman" w:cs="Times New Roman"/>
          <w:kern w:val="0"/>
          <w:sz w:val="24"/>
          <w14:ligatures w14:val="none"/>
        </w:rPr>
        <w:t xml:space="preserve">  </w:t>
      </w:r>
    </w:p>
    <w:p w14:paraId="1CC80FAC" w14:textId="395A24D9" w:rsidR="009F2407" w:rsidRPr="00BD3935" w:rsidRDefault="00ED628A" w:rsidP="00087850">
      <w:pPr>
        <w:spacing w:line="360" w:lineRule="auto"/>
        <w:jc w:val="both"/>
        <w:rPr>
          <w:rFonts w:ascii="Times New Roman" w:eastAsia="Calibri" w:hAnsi="Times New Roman" w:cs="Times New Roman"/>
          <w:b/>
          <w:bCs/>
          <w:i/>
          <w:iCs/>
          <w:kern w:val="0"/>
          <w:sz w:val="24"/>
          <w14:ligatures w14:val="none"/>
        </w:rPr>
      </w:pPr>
      <w:bookmarkStart w:id="1" w:name="_Hlk162378081"/>
      <w:r w:rsidRPr="00BD3935">
        <w:rPr>
          <w:rFonts w:ascii="Times New Roman" w:eastAsia="Calibri" w:hAnsi="Times New Roman" w:cs="Times New Roman"/>
          <w:b/>
          <w:bCs/>
          <w:i/>
          <w:iCs/>
          <w:kern w:val="0"/>
          <w:sz w:val="24"/>
          <w14:ligatures w14:val="none"/>
        </w:rPr>
        <w:lastRenderedPageBreak/>
        <w:t>2.2. Data collection and analysis</w:t>
      </w:r>
    </w:p>
    <w:p w14:paraId="505E1BA9" w14:textId="53C0C48A" w:rsidR="005E516A" w:rsidRPr="00BD3935" w:rsidRDefault="005E516A" w:rsidP="005E516A">
      <w:pPr>
        <w:spacing w:line="360" w:lineRule="auto"/>
        <w:jc w:val="both"/>
        <w:rPr>
          <w:rFonts w:ascii="Times New Roman" w:eastAsia="Calibri" w:hAnsi="Times New Roman" w:cs="Times New Roman"/>
          <w:kern w:val="0"/>
          <w:sz w:val="24"/>
          <w14:ligatures w14:val="none"/>
        </w:rPr>
      </w:pPr>
      <w:bookmarkStart w:id="2" w:name="_Hlk162378152"/>
      <w:r w:rsidRPr="00BD3935">
        <w:rPr>
          <w:rFonts w:ascii="Times New Roman" w:eastAsia="Calibri" w:hAnsi="Times New Roman" w:cs="Times New Roman"/>
          <w:kern w:val="0"/>
          <w:sz w:val="24"/>
          <w14:ligatures w14:val="none"/>
        </w:rPr>
        <w:t>The research methodology employed in this study encompasses both data collection and analysis using machine learning techniques to predict SOC</w:t>
      </w:r>
      <w:r w:rsidR="00515417" w:rsidRPr="00BD3935">
        <w:rPr>
          <w:rFonts w:ascii="Times New Roman" w:eastAsia="Calibri" w:hAnsi="Times New Roman" w:cs="Times New Roman"/>
          <w:kern w:val="0"/>
          <w:sz w:val="24"/>
          <w14:ligatures w14:val="none"/>
        </w:rPr>
        <w:t xml:space="preserve"> stocks</w:t>
      </w:r>
      <w:r w:rsidRPr="00BD3935">
        <w:rPr>
          <w:rFonts w:ascii="Times New Roman" w:eastAsia="Calibri" w:hAnsi="Times New Roman" w:cs="Times New Roman"/>
          <w:kern w:val="0"/>
          <w:sz w:val="24"/>
          <w14:ligatures w14:val="none"/>
        </w:rPr>
        <w:t xml:space="preserve"> in </w:t>
      </w:r>
      <w:r w:rsidR="00382756" w:rsidRPr="00BD3935">
        <w:rPr>
          <w:rFonts w:ascii="Times New Roman" w:eastAsia="Calibri" w:hAnsi="Times New Roman" w:cs="Times New Roman"/>
          <w:kern w:val="0"/>
          <w:sz w:val="24"/>
          <w14:ligatures w14:val="none"/>
        </w:rPr>
        <w:t xml:space="preserve">the State of </w:t>
      </w:r>
      <w:r w:rsidRPr="00BD3935">
        <w:rPr>
          <w:rFonts w:ascii="Times New Roman" w:eastAsia="Calibri" w:hAnsi="Times New Roman" w:cs="Times New Roman"/>
          <w:kern w:val="0"/>
          <w:sz w:val="24"/>
          <w14:ligatures w14:val="none"/>
        </w:rPr>
        <w:t>Mato Grosso, Brazil</w:t>
      </w:r>
      <w:r w:rsidR="00382756" w:rsidRPr="00BD3935">
        <w:rPr>
          <w:rFonts w:ascii="Times New Roman" w:eastAsia="Calibri" w:hAnsi="Times New Roman" w:cs="Times New Roman"/>
          <w:kern w:val="0"/>
          <w:sz w:val="24"/>
          <w14:ligatures w14:val="none"/>
        </w:rPr>
        <w:t xml:space="preserve"> (</w:t>
      </w:r>
      <w:r w:rsidR="00382756" w:rsidRPr="00BD3935">
        <w:rPr>
          <w:rFonts w:ascii="Times New Roman" w:eastAsia="Calibri" w:hAnsi="Times New Roman" w:cs="Times New Roman"/>
          <w:b/>
          <w:bCs/>
          <w:kern w:val="0"/>
          <w:sz w:val="24"/>
          <w14:ligatures w14:val="none"/>
        </w:rPr>
        <w:t>Figure 2</w:t>
      </w:r>
      <w:r w:rsidR="00382756" w:rsidRPr="00BD3935">
        <w:rPr>
          <w:rFonts w:ascii="Times New Roman" w:eastAsia="Calibri" w:hAnsi="Times New Roman" w:cs="Times New Roman"/>
          <w:kern w:val="0"/>
          <w:sz w:val="24"/>
          <w14:ligatures w14:val="none"/>
        </w:rPr>
        <w:t>)</w:t>
      </w:r>
      <w:r w:rsidRPr="00BD3935">
        <w:rPr>
          <w:rFonts w:ascii="Times New Roman" w:eastAsia="Calibri" w:hAnsi="Times New Roman" w:cs="Times New Roman"/>
          <w:kern w:val="0"/>
          <w:sz w:val="24"/>
          <w14:ligatures w14:val="none"/>
        </w:rPr>
        <w:t>. The data collection process involved leveraging the capabilities of Google Earth Engine (GEE) to extract relevant geospatial information and satellite data for the study area.</w:t>
      </w:r>
    </w:p>
    <w:p w14:paraId="4557F198"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bookmarkStart w:id="3" w:name="_Hlk162378190"/>
      <w:bookmarkEnd w:id="2"/>
      <w:r w:rsidRPr="00BD3935">
        <w:rPr>
          <w:rFonts w:ascii="Times New Roman" w:eastAsia="Calibri" w:hAnsi="Times New Roman" w:cs="Times New Roman"/>
          <w:kern w:val="0"/>
          <w:sz w:val="24"/>
          <w14:ligatures w14:val="none"/>
        </w:rPr>
        <w:t>The baseline dataset used as the predictor in this analysis consisted of actual SOC measurements, allowing for the establishment of a ground truth that served as both the model input and the basis for evaluating the predictive models. The sampling points were strategically distributed across various regions in Brazil, ensuring representation of diverse soil types and land cover characteristics. The Brazil SOC sampling dataset was subset to Mato Grosso, the specific study area, and the data was converted to a geospatial format from a CSV dataset.</w:t>
      </w:r>
    </w:p>
    <w:p w14:paraId="59DC2DD5"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bookmarkStart w:id="4" w:name="_Hlk162378217"/>
      <w:bookmarkEnd w:id="3"/>
      <w:r w:rsidRPr="00BD3935">
        <w:rPr>
          <w:rFonts w:ascii="Times New Roman" w:eastAsia="Calibri" w:hAnsi="Times New Roman" w:cs="Times New Roman"/>
          <w:kern w:val="0"/>
          <w:sz w:val="24"/>
          <w14:ligatures w14:val="none"/>
        </w:rPr>
        <w:t>Various predictive factors, including Average Land Surface Temperature (LST), Rainfall, Elevation, Slope, Normalized Difference Vegetation Index (NDVI), Bare Soil Index (BSI), and Land Use, were extracted from satellite imagery obtained through GEE. These factors were selected based on their relevance to SOC dynamics, as well as the findings of previous research conducted in different locations, which highlighted their potential as predictors for SOC levels.</w:t>
      </w:r>
    </w:p>
    <w:p w14:paraId="6ED72782"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bookmarkStart w:id="5" w:name="_Hlk162378284"/>
      <w:bookmarkEnd w:id="4"/>
      <w:r w:rsidRPr="00BD3935">
        <w:rPr>
          <w:rFonts w:ascii="Times New Roman" w:eastAsia="Calibri" w:hAnsi="Times New Roman" w:cs="Times New Roman"/>
          <w:kern w:val="0"/>
          <w:sz w:val="24"/>
          <w14:ligatures w14:val="none"/>
        </w:rPr>
        <w:t xml:space="preserve">To measure the correlation between the predictive variables and the predictors, a correlation analysis was performed on the combined datasets. The dataset was then split into training and testing datasets. The training dataset was used to build a model using the Random Forest Regression machine learning algorithm. </w:t>
      </w:r>
      <w:bookmarkEnd w:id="5"/>
      <w:r w:rsidRPr="00BD3935">
        <w:rPr>
          <w:rFonts w:ascii="Times New Roman" w:eastAsia="Calibri" w:hAnsi="Times New Roman" w:cs="Times New Roman"/>
          <w:kern w:val="0"/>
          <w:sz w:val="24"/>
          <w14:ligatures w14:val="none"/>
        </w:rPr>
        <w:t>Random Forest Regression, a powerful ensemble learning algorithm, was chosen for its ability to handle complex interactions among variables and provide accurate predictions. Many previous studies have reported high performance when using Random Forest Regression to model the relationship between predictive and predicted datasets. The testing dataset was used to evaluate the model's performance.</w:t>
      </w:r>
    </w:p>
    <w:p w14:paraId="4F138BFB"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bookmarkStart w:id="6" w:name="_Hlk162378335"/>
      <w:r w:rsidRPr="00BD3935">
        <w:rPr>
          <w:rFonts w:ascii="Times New Roman" w:eastAsia="Calibri" w:hAnsi="Times New Roman" w:cs="Times New Roman"/>
          <w:kern w:val="0"/>
          <w:sz w:val="24"/>
          <w14:ligatures w14:val="none"/>
        </w:rPr>
        <w:t>Furthermore, to predict SOC values across various locations, a separate set of 10,000 points was generated within the study area at an interval of 100m. These points were used to extract data from the predictive factors, and the information obtained was utilized to predict SOC values at each location.</w:t>
      </w:r>
    </w:p>
    <w:bookmarkEnd w:id="6"/>
    <w:p w14:paraId="3BEDE96F"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lastRenderedPageBreak/>
        <w:t>The Random Forest Regression algorithm used in this study can be expressed by the following formula:</w:t>
      </w:r>
    </w:p>
    <w:p w14:paraId="31212B94"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SOC = f(LST, rainfall, elevation, slope, NDVI, BSI, land-use)</w:t>
      </w:r>
    </w:p>
    <w:p w14:paraId="6091A7F4" w14:textId="77777777" w:rsidR="005E516A" w:rsidRPr="00BD3935" w:rsidRDefault="005E516A" w:rsidP="005E516A">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Where:</w:t>
      </w:r>
    </w:p>
    <w:p w14:paraId="4EE517A7"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SOC represents the predicted Soil Organic Carbon value,</w:t>
      </w:r>
    </w:p>
    <w:p w14:paraId="45C93D9B"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LST represents the Average Land Surface Temperature,</w:t>
      </w:r>
    </w:p>
    <w:p w14:paraId="544D3847"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Rainfall represents the rainfall data,</w:t>
      </w:r>
    </w:p>
    <w:p w14:paraId="3174D4E2"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Elevation represents the elevation information,</w:t>
      </w:r>
    </w:p>
    <w:p w14:paraId="6A17BAD0"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Slope represents the slope of the terrain,</w:t>
      </w:r>
    </w:p>
    <w:p w14:paraId="2B66C02A"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NDVI represents the Normalized Difference Vegetation Index,</w:t>
      </w:r>
    </w:p>
    <w:p w14:paraId="1FE6D5BD"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BSI represents the Bare Soil Index, and</w:t>
      </w:r>
    </w:p>
    <w:p w14:paraId="75A27C43" w14:textId="77777777" w:rsidR="005E516A" w:rsidRPr="00BD3935" w:rsidRDefault="005E516A" w:rsidP="005E516A">
      <w:pPr>
        <w:numPr>
          <w:ilvl w:val="0"/>
          <w:numId w:val="6"/>
        </w:numPr>
        <w:spacing w:line="360" w:lineRule="auto"/>
        <w:contextualSpacing/>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Land-use represents the land use classification.</w:t>
      </w:r>
    </w:p>
    <w:p w14:paraId="1EBA6A8C" w14:textId="7AE6106A" w:rsidR="005E516A" w:rsidRPr="00BD3935" w:rsidRDefault="005E516A" w:rsidP="00087850">
      <w:pPr>
        <w:spacing w:line="360" w:lineRule="auto"/>
        <w:jc w:val="both"/>
        <w:rPr>
          <w:rFonts w:ascii="Times New Roman" w:eastAsia="Calibri" w:hAnsi="Times New Roman" w:cs="Times New Roman"/>
          <w:kern w:val="0"/>
          <w:sz w:val="24"/>
          <w14:ligatures w14:val="none"/>
        </w:rPr>
      </w:pPr>
      <w:bookmarkStart w:id="7" w:name="_Hlk162378380"/>
      <w:r w:rsidRPr="00BD3935">
        <w:rPr>
          <w:rFonts w:ascii="Times New Roman" w:eastAsia="Calibri" w:hAnsi="Times New Roman" w:cs="Times New Roman"/>
          <w:kern w:val="0"/>
          <w:sz w:val="24"/>
          <w14:ligatures w14:val="none"/>
        </w:rPr>
        <w:t>This comprehensive research methodology encompassed data collection, feature extraction, model building using Random Forest Regression, model evaluation, feature importance analysis, and prediction of SOC values at various locations within Mato Grosso, Brazil.</w:t>
      </w:r>
    </w:p>
    <w:p w14:paraId="501BB337" w14:textId="2540D320" w:rsidR="005E516A" w:rsidRPr="00BD3935" w:rsidRDefault="005E516A" w:rsidP="005E516A">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 xml:space="preserve">The testing dataset was used to evaluate the model's performance, resulting in an accuracy score of 91.7% with a Mean Absolute Error (MAE) of 4.04. </w:t>
      </w:r>
    </w:p>
    <w:bookmarkEnd w:id="1"/>
    <w:bookmarkEnd w:id="7"/>
    <w:p w14:paraId="6F02CB53" w14:textId="08C89797" w:rsidR="00A44670" w:rsidRPr="00BD3935" w:rsidRDefault="005E516A" w:rsidP="00087850">
      <w:pPr>
        <w:spacing w:line="360" w:lineRule="auto"/>
        <w:jc w:val="both"/>
        <w:rPr>
          <w:rFonts w:ascii="Times New Roman" w:eastAsia="Calibri" w:hAnsi="Times New Roman" w:cs="Times New Roman"/>
          <w:b/>
          <w:bCs/>
          <w:kern w:val="0"/>
          <w:sz w:val="24"/>
          <w14:ligatures w14:val="none"/>
        </w:rPr>
      </w:pPr>
      <w:r w:rsidRPr="00BD3935">
        <w:rPr>
          <w:rFonts w:ascii="Times New Roman" w:eastAsia="Calibri" w:hAnsi="Times New Roman" w:cs="Times New Roman"/>
          <w:b/>
          <w:bCs/>
          <w:kern w:val="0"/>
          <w:sz w:val="24"/>
          <w14:ligatures w14:val="none"/>
        </w:rPr>
        <w:t>3. Result</w:t>
      </w:r>
      <w:r w:rsidR="005C7D86" w:rsidRPr="00BD3935">
        <w:rPr>
          <w:rFonts w:ascii="Times New Roman" w:eastAsia="Calibri" w:hAnsi="Times New Roman" w:cs="Times New Roman"/>
          <w:b/>
          <w:bCs/>
          <w:kern w:val="0"/>
          <w:sz w:val="24"/>
          <w14:ligatures w14:val="none"/>
        </w:rPr>
        <w:t>s and discussion</w:t>
      </w:r>
    </w:p>
    <w:p w14:paraId="611E159F" w14:textId="64C10918" w:rsidR="008E1CB9" w:rsidRPr="00BD3935" w:rsidRDefault="008E1CB9" w:rsidP="008E1CB9">
      <w:pPr>
        <w:rPr>
          <w:rFonts w:ascii="Times New Roman" w:hAnsi="Times New Roman" w:cs="Times New Roman"/>
          <w:b/>
          <w:bCs/>
          <w:i/>
          <w:iCs/>
          <w:sz w:val="24"/>
          <w:szCs w:val="24"/>
        </w:rPr>
      </w:pPr>
      <w:r w:rsidRPr="00BD3935">
        <w:rPr>
          <w:rFonts w:ascii="Times New Roman" w:hAnsi="Times New Roman" w:cs="Times New Roman"/>
          <w:b/>
          <w:bCs/>
          <w:i/>
          <w:iCs/>
          <w:sz w:val="24"/>
          <w:szCs w:val="24"/>
        </w:rPr>
        <w:t>3.1. Lan</w:t>
      </w:r>
      <w:r w:rsidR="003F5555" w:rsidRPr="00BD3935">
        <w:rPr>
          <w:rFonts w:ascii="Times New Roman" w:hAnsi="Times New Roman" w:cs="Times New Roman"/>
          <w:b/>
          <w:bCs/>
          <w:i/>
          <w:iCs/>
          <w:sz w:val="24"/>
          <w:szCs w:val="24"/>
        </w:rPr>
        <w:t>d</w:t>
      </w:r>
      <w:r w:rsidRPr="00BD3935">
        <w:rPr>
          <w:rFonts w:ascii="Times New Roman" w:hAnsi="Times New Roman" w:cs="Times New Roman"/>
          <w:b/>
          <w:bCs/>
          <w:i/>
          <w:iCs/>
          <w:sz w:val="24"/>
          <w:szCs w:val="24"/>
        </w:rPr>
        <w:t xml:space="preserve"> use</w:t>
      </w:r>
    </w:p>
    <w:p w14:paraId="510ED6C9" w14:textId="5B96207F" w:rsidR="009F2407" w:rsidRPr="00BD3935" w:rsidRDefault="008E1CB9" w:rsidP="00382756">
      <w:pPr>
        <w:spacing w:line="360" w:lineRule="auto"/>
        <w:jc w:val="both"/>
        <w:rPr>
          <w:sz w:val="24"/>
          <w:szCs w:val="24"/>
        </w:rPr>
      </w:pPr>
      <w:bookmarkStart w:id="8" w:name="_Hlk162378996"/>
      <w:r w:rsidRPr="00BD3935">
        <w:rPr>
          <w:rFonts w:ascii="Times New Roman" w:hAnsi="Times New Roman" w:cs="Times New Roman"/>
          <w:sz w:val="24"/>
          <w:szCs w:val="24"/>
        </w:rPr>
        <w:t>Significant changes in land use were observed between 2020 and 2050 (predicted) (</w:t>
      </w:r>
      <w:r w:rsidRPr="00BD3935">
        <w:rPr>
          <w:rFonts w:ascii="Times New Roman" w:hAnsi="Times New Roman" w:cs="Times New Roman"/>
          <w:b/>
          <w:bCs/>
          <w:sz w:val="24"/>
          <w:szCs w:val="24"/>
        </w:rPr>
        <w:t>Table 1</w:t>
      </w:r>
      <w:r w:rsidRPr="00BD3935">
        <w:rPr>
          <w:rFonts w:ascii="Times New Roman" w:hAnsi="Times New Roman" w:cs="Times New Roman"/>
          <w:sz w:val="24"/>
          <w:szCs w:val="24"/>
        </w:rPr>
        <w:t>). Croplands had the highest positive change (i.e., increase) of 77.6% between 2020 and 2050, while pastures recorded the highest negative change (i.e., decrease) of 31.6%. (</w:t>
      </w:r>
      <w:r w:rsidRPr="00BD3935">
        <w:rPr>
          <w:rFonts w:ascii="Times New Roman" w:hAnsi="Times New Roman" w:cs="Times New Roman"/>
          <w:b/>
          <w:bCs/>
          <w:sz w:val="24"/>
          <w:szCs w:val="24"/>
        </w:rPr>
        <w:t xml:space="preserve">Figure </w:t>
      </w:r>
      <w:r w:rsidR="00382756" w:rsidRPr="00BD3935">
        <w:rPr>
          <w:rFonts w:ascii="Times New Roman" w:hAnsi="Times New Roman" w:cs="Times New Roman"/>
          <w:b/>
          <w:bCs/>
          <w:sz w:val="24"/>
          <w:szCs w:val="24"/>
        </w:rPr>
        <w:t>3</w:t>
      </w:r>
      <w:r w:rsidRPr="00BD3935">
        <w:rPr>
          <w:rFonts w:ascii="Times New Roman" w:hAnsi="Times New Roman" w:cs="Times New Roman"/>
          <w:sz w:val="24"/>
          <w:szCs w:val="24"/>
        </w:rPr>
        <w:t xml:space="preserve">). Other land use that increased between 2020 and 2050 were settlement (8.1%), and bareland/sparse vegetation (1.6%). On the contrary, in addition to pasture, forests (4.5%), shrubland (3.8%), wetland (0.5%), and water bodies (0.1%) decreased during the three decades. Mato Grosso is one of the States in Brazil that have been experiencing many sustainable crop cultivation practices at large scales (Dou et al. 2023) thus, the substantial increase in croplands tends to be accurate prediction for the State in 2050. Brazil is the world's largest producer of many foods such as cotton, meat, corn, sugar cane </w:t>
      </w:r>
      <w:r w:rsidRPr="00BD3935">
        <w:rPr>
          <w:rFonts w:ascii="Times New Roman" w:hAnsi="Times New Roman" w:cs="Times New Roman"/>
          <w:sz w:val="24"/>
          <w:szCs w:val="24"/>
        </w:rPr>
        <w:lastRenderedPageBreak/>
        <w:t xml:space="preserve">and soybean (34% of the world total). The State of Mato Grosso is a major Brazilian agricultural producing State and ranks the largest in the production of most of the crop-based foods (Sun et al. 2024). The State records a high rate of annual growth, largest expansion and more than 28% of the national soybean production (Dou et al. 2023; Margarido and Turolla 2024). The 2020/2021 harvest estimates for soybean production in the State was at 36 million tons (CONAB, 2021; IMEA 2021; USDA, 2021). In the recent decades, </w:t>
      </w:r>
      <w:r w:rsidR="003F5555" w:rsidRPr="00BD3935">
        <w:rPr>
          <w:rFonts w:ascii="Times New Roman" w:hAnsi="Times New Roman" w:cs="Times New Roman"/>
          <w:sz w:val="24"/>
          <w:szCs w:val="24"/>
        </w:rPr>
        <w:t xml:space="preserve">Mato Grosso and other </w:t>
      </w:r>
      <w:r w:rsidRPr="00BD3935">
        <w:rPr>
          <w:rFonts w:ascii="Times New Roman" w:hAnsi="Times New Roman" w:cs="Times New Roman"/>
          <w:sz w:val="24"/>
          <w:szCs w:val="24"/>
        </w:rPr>
        <w:t>Brazil</w:t>
      </w:r>
      <w:r w:rsidR="003F5555" w:rsidRPr="00BD3935">
        <w:rPr>
          <w:rFonts w:ascii="Times New Roman" w:hAnsi="Times New Roman" w:cs="Times New Roman"/>
          <w:sz w:val="24"/>
          <w:szCs w:val="24"/>
        </w:rPr>
        <w:t>ian States</w:t>
      </w:r>
      <w:r w:rsidRPr="00BD3935">
        <w:rPr>
          <w:rFonts w:ascii="Times New Roman" w:hAnsi="Times New Roman" w:cs="Times New Roman"/>
          <w:sz w:val="24"/>
          <w:szCs w:val="24"/>
        </w:rPr>
        <w:t xml:space="preserve"> ha</w:t>
      </w:r>
      <w:r w:rsidR="003F5555" w:rsidRPr="00BD3935">
        <w:rPr>
          <w:rFonts w:ascii="Times New Roman" w:hAnsi="Times New Roman" w:cs="Times New Roman"/>
          <w:sz w:val="24"/>
          <w:szCs w:val="24"/>
        </w:rPr>
        <w:t>ve</w:t>
      </w:r>
      <w:r w:rsidRPr="00BD3935">
        <w:rPr>
          <w:rFonts w:ascii="Times New Roman" w:hAnsi="Times New Roman" w:cs="Times New Roman"/>
          <w:sz w:val="24"/>
          <w:szCs w:val="24"/>
        </w:rPr>
        <w:t xml:space="preserve"> increased its agricultural production exponentially to become one of the main global producer and exporter of food, feed, fiber</w:t>
      </w:r>
      <w:r w:rsidR="00382756" w:rsidRPr="00BD3935">
        <w:rPr>
          <w:rFonts w:ascii="Times New Roman" w:hAnsi="Times New Roman" w:cs="Times New Roman"/>
          <w:sz w:val="24"/>
          <w:szCs w:val="24"/>
        </w:rPr>
        <w:t>,</w:t>
      </w:r>
      <w:r w:rsidRPr="00BD3935">
        <w:rPr>
          <w:rFonts w:ascii="Times New Roman" w:hAnsi="Times New Roman" w:cs="Times New Roman"/>
          <w:sz w:val="24"/>
          <w:szCs w:val="24"/>
        </w:rPr>
        <w:t xml:space="preserve"> and fuel (FAO, 2020). </w:t>
      </w:r>
      <w:r w:rsidR="003F5555" w:rsidRPr="00BD3935">
        <w:rPr>
          <w:rFonts w:ascii="Times New Roman" w:hAnsi="Times New Roman" w:cs="Times New Roman"/>
          <w:sz w:val="24"/>
          <w:szCs w:val="24"/>
        </w:rPr>
        <w:t>This therefore explains the reason croplands significantly increased between 2020 and 2050 while the pastures and forests decreased</w:t>
      </w:r>
      <w:bookmarkStart w:id="9" w:name="_Hlk161916767"/>
      <w:r w:rsidR="00375307" w:rsidRPr="00BD3935">
        <w:rPr>
          <w:rFonts w:ascii="Times New Roman" w:hAnsi="Times New Roman" w:cs="Times New Roman"/>
          <w:sz w:val="24"/>
          <w:szCs w:val="24"/>
        </w:rPr>
        <w:t xml:space="preserve"> as observed in our study. In affirmation to the findings of this study, the report by Bolfe et al. (2024) demonstrated that Mato Grosso State has the largest crop area of 11.78 Mha (i.e.,19.3%) of the total Brazil’s crop area as </w:t>
      </w:r>
      <w:r w:rsidR="00993CB8" w:rsidRPr="00BD3935">
        <w:rPr>
          <w:rFonts w:ascii="Times New Roman" w:hAnsi="Times New Roman" w:cs="Times New Roman"/>
          <w:sz w:val="24"/>
          <w:szCs w:val="24"/>
        </w:rPr>
        <w:t>of</w:t>
      </w:r>
      <w:r w:rsidR="00375307" w:rsidRPr="00BD3935">
        <w:rPr>
          <w:rFonts w:ascii="Times New Roman" w:hAnsi="Times New Roman" w:cs="Times New Roman"/>
          <w:sz w:val="24"/>
          <w:szCs w:val="24"/>
        </w:rPr>
        <w:t xml:space="preserve"> 2022, and the next is Rio Grande do Sul which had 8.92 Mha </w:t>
      </w:r>
      <w:r w:rsidR="00993CB8" w:rsidRPr="00BD3935">
        <w:rPr>
          <w:rFonts w:ascii="Times New Roman" w:hAnsi="Times New Roman" w:cs="Times New Roman"/>
          <w:sz w:val="24"/>
          <w:szCs w:val="24"/>
        </w:rPr>
        <w:t>(14.6%). It was further reported that the agricultural crop expansion potential area of Mato Grosso State is 5.12 Mha, and this value is more than 10 times when compared with most of the other Brazilian States</w:t>
      </w:r>
      <w:r w:rsidR="00C43841" w:rsidRPr="00BD3935">
        <w:rPr>
          <w:rFonts w:ascii="Times New Roman" w:hAnsi="Times New Roman" w:cs="Times New Roman"/>
          <w:sz w:val="24"/>
          <w:szCs w:val="24"/>
        </w:rPr>
        <w:t xml:space="preserve"> including Rio Grande do Sul which has 0.35 Mha</w:t>
      </w:r>
      <w:r w:rsidR="00993CB8" w:rsidRPr="00BD3935">
        <w:rPr>
          <w:rFonts w:ascii="Times New Roman" w:hAnsi="Times New Roman" w:cs="Times New Roman"/>
          <w:sz w:val="24"/>
          <w:szCs w:val="24"/>
        </w:rPr>
        <w:t xml:space="preserve"> (Bolfe et al. 2024).</w:t>
      </w:r>
    </w:p>
    <w:bookmarkEnd w:id="8"/>
    <w:bookmarkEnd w:id="9"/>
    <w:p w14:paraId="631C500B" w14:textId="66DD235D" w:rsidR="00C7735F" w:rsidRPr="00BD3935" w:rsidRDefault="00C7735F" w:rsidP="00A44670">
      <w:r w:rsidRPr="00BD3935">
        <w:rPr>
          <w:noProof/>
        </w:rPr>
        <w:drawing>
          <wp:inline distT="0" distB="0" distL="0" distR="0" wp14:anchorId="52686EBB" wp14:editId="2DFE4386">
            <wp:extent cx="5943600" cy="2571750"/>
            <wp:effectExtent l="19050" t="19050" r="19050" b="19050"/>
            <wp:docPr id="9276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60"/>
                    <a:stretch/>
                  </pic:blipFill>
                  <pic:spPr bwMode="auto">
                    <a:xfrm>
                      <a:off x="0" y="0"/>
                      <a:ext cx="5943600" cy="25717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4CBA4FE" w14:textId="0405E696" w:rsidR="008710DA" w:rsidRPr="00BD3935" w:rsidRDefault="00A44F37" w:rsidP="008710DA">
      <w:pPr>
        <w:rPr>
          <w:rFonts w:ascii="Times New Roman" w:hAnsi="Times New Roman" w:cs="Times New Roman"/>
        </w:rPr>
      </w:pPr>
      <w:bookmarkStart w:id="10" w:name="_Hlk162379374"/>
      <w:r w:rsidRPr="00BD3935">
        <w:rPr>
          <w:rFonts w:ascii="Times New Roman" w:hAnsi="Times New Roman" w:cs="Times New Roman"/>
          <w:b/>
          <w:bCs/>
        </w:rPr>
        <w:t>Figure 3</w:t>
      </w:r>
      <w:r w:rsidRPr="00BD3935">
        <w:rPr>
          <w:rFonts w:ascii="Times New Roman" w:hAnsi="Times New Roman" w:cs="Times New Roman"/>
        </w:rPr>
        <w:t>. Land use in Mato Grosso for (a) 2020, (b) 2050</w:t>
      </w:r>
      <w:r w:rsidR="00382756" w:rsidRPr="00BD3935">
        <w:rPr>
          <w:rFonts w:ascii="Times New Roman" w:hAnsi="Times New Roman" w:cs="Times New Roman"/>
        </w:rPr>
        <w:t>.</w:t>
      </w:r>
    </w:p>
    <w:p w14:paraId="5FF31C07" w14:textId="77777777" w:rsidR="00170EAD" w:rsidRPr="00BD3935" w:rsidRDefault="00170EAD" w:rsidP="008710DA">
      <w:pPr>
        <w:rPr>
          <w:rFonts w:ascii="Times New Roman" w:hAnsi="Times New Roman" w:cs="Times New Roman"/>
          <w:b/>
          <w:bCs/>
          <w:sz w:val="24"/>
          <w:szCs w:val="24"/>
        </w:rPr>
      </w:pPr>
      <w:bookmarkStart w:id="11" w:name="_Hlk162380286"/>
      <w:bookmarkEnd w:id="10"/>
    </w:p>
    <w:p w14:paraId="3876A1A2" w14:textId="77777777" w:rsidR="00170EAD" w:rsidRPr="00BD3935" w:rsidRDefault="00170EAD" w:rsidP="008710DA">
      <w:pPr>
        <w:rPr>
          <w:rFonts w:ascii="Times New Roman" w:hAnsi="Times New Roman" w:cs="Times New Roman"/>
          <w:b/>
          <w:bCs/>
          <w:sz w:val="16"/>
          <w:szCs w:val="16"/>
        </w:rPr>
      </w:pPr>
    </w:p>
    <w:p w14:paraId="7FF008CD" w14:textId="77777777" w:rsidR="00170EAD" w:rsidRPr="00BD3935" w:rsidRDefault="00170EAD" w:rsidP="008710DA">
      <w:pPr>
        <w:rPr>
          <w:rFonts w:ascii="Times New Roman" w:hAnsi="Times New Roman" w:cs="Times New Roman"/>
          <w:b/>
          <w:bCs/>
          <w:sz w:val="16"/>
          <w:szCs w:val="16"/>
        </w:rPr>
      </w:pPr>
    </w:p>
    <w:p w14:paraId="192419AF" w14:textId="77777777" w:rsidR="00170EAD" w:rsidRPr="00BD3935" w:rsidRDefault="00170EAD" w:rsidP="008710DA">
      <w:pPr>
        <w:rPr>
          <w:rFonts w:ascii="Times New Roman" w:hAnsi="Times New Roman" w:cs="Times New Roman"/>
          <w:b/>
          <w:bCs/>
          <w:sz w:val="16"/>
          <w:szCs w:val="16"/>
        </w:rPr>
      </w:pPr>
    </w:p>
    <w:p w14:paraId="4AAED893" w14:textId="77777777" w:rsidR="00170EAD" w:rsidRPr="00BD3935" w:rsidRDefault="00170EAD" w:rsidP="008710DA">
      <w:pPr>
        <w:rPr>
          <w:rFonts w:ascii="Times New Roman" w:hAnsi="Times New Roman" w:cs="Times New Roman"/>
          <w:b/>
          <w:bCs/>
          <w:sz w:val="16"/>
          <w:szCs w:val="16"/>
        </w:rPr>
      </w:pPr>
    </w:p>
    <w:p w14:paraId="10F205C1" w14:textId="18FA056D" w:rsidR="008710DA" w:rsidRPr="00BD3935" w:rsidRDefault="00B93CEE" w:rsidP="008710DA">
      <w:pPr>
        <w:rPr>
          <w:rFonts w:ascii="Times New Roman" w:hAnsi="Times New Roman" w:cs="Times New Roman"/>
          <w:sz w:val="24"/>
          <w:szCs w:val="24"/>
        </w:rPr>
      </w:pPr>
      <w:r w:rsidRPr="00BD3935">
        <w:rPr>
          <w:rFonts w:ascii="Times New Roman" w:hAnsi="Times New Roman" w:cs="Times New Roman"/>
          <w:sz w:val="24"/>
          <w:szCs w:val="24"/>
        </w:rPr>
        <w:lastRenderedPageBreak/>
        <w:t>Table 1. Land use, and change information in 2020 and 2050</w:t>
      </w:r>
      <w:r w:rsidR="004A7B75" w:rsidRPr="00BD3935">
        <w:rPr>
          <w:rFonts w:ascii="Times New Roman" w:eastAsia="Times New Roman" w:hAnsi="Times New Roman" w:cs="Times New Roman"/>
          <w:b/>
          <w:bCs/>
          <w:noProof/>
          <w:kern w:val="0"/>
          <w:sz w:val="24"/>
          <w:szCs w:val="24"/>
        </w:rPr>
        <mc:AlternateContent>
          <mc:Choice Requires="wps">
            <w:drawing>
              <wp:anchor distT="0" distB="0" distL="114300" distR="114300" simplePos="0" relativeHeight="251741184" behindDoc="0" locked="0" layoutInCell="1" allowOverlap="1" wp14:anchorId="41D00F29" wp14:editId="010FF5A7">
                <wp:simplePos x="0" y="0"/>
                <wp:positionH relativeFrom="margin">
                  <wp:align>left</wp:align>
                </wp:positionH>
                <wp:positionV relativeFrom="paragraph">
                  <wp:posOffset>253365</wp:posOffset>
                </wp:positionV>
                <wp:extent cx="4086225" cy="0"/>
                <wp:effectExtent l="0" t="0" r="0" b="0"/>
                <wp:wrapNone/>
                <wp:docPr id="1259169516" name="Straight Connector 1"/>
                <wp:cNvGraphicFramePr/>
                <a:graphic xmlns:a="http://schemas.openxmlformats.org/drawingml/2006/main">
                  <a:graphicData uri="http://schemas.microsoft.com/office/word/2010/wordprocessingShape">
                    <wps:wsp>
                      <wps:cNvCnPr/>
                      <wps:spPr>
                        <a:xfrm>
                          <a:off x="0" y="0"/>
                          <a:ext cx="40862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B7297C" id="Straight Connector 1" o:spid="_x0000_s1026" style="position:absolute;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32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" strokecolor="windowText" strokeweight=".5pt">
                <v:stroke joinstyle="miter"/>
                <w10:wrap anchorx="margin"/>
              </v:line>
            </w:pict>
          </mc:Fallback>
        </mc:AlternateContent>
      </w:r>
    </w:p>
    <w:tbl>
      <w:tblPr>
        <w:tblW w:w="8617" w:type="dxa"/>
        <w:tblLook w:val="04A0" w:firstRow="1" w:lastRow="0" w:firstColumn="1" w:lastColumn="0" w:noHBand="0" w:noVBand="1"/>
      </w:tblPr>
      <w:tblGrid>
        <w:gridCol w:w="1474"/>
        <w:gridCol w:w="1157"/>
        <w:gridCol w:w="878"/>
        <w:gridCol w:w="1157"/>
        <w:gridCol w:w="878"/>
        <w:gridCol w:w="1335"/>
        <w:gridCol w:w="1738"/>
      </w:tblGrid>
      <w:tr w:rsidR="00BD3935" w:rsidRPr="00BD3935" w14:paraId="1BCA740C" w14:textId="77777777" w:rsidTr="00170EAD">
        <w:trPr>
          <w:trHeight w:val="249"/>
        </w:trPr>
        <w:tc>
          <w:tcPr>
            <w:tcW w:w="1474" w:type="dxa"/>
            <w:tcBorders>
              <w:top w:val="nil"/>
              <w:left w:val="nil"/>
              <w:bottom w:val="nil"/>
              <w:right w:val="nil"/>
            </w:tcBorders>
            <w:shd w:val="clear" w:color="auto" w:fill="auto"/>
            <w:noWrap/>
            <w:vAlign w:val="center"/>
            <w:hideMark/>
          </w:tcPr>
          <w:p w14:paraId="0334F938"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bookmarkStart w:id="12" w:name="_Hlk162380384"/>
            <w:r w:rsidRPr="00BD3935">
              <w:rPr>
                <w:rFonts w:ascii="Times New Roman" w:eastAsia="Times New Roman" w:hAnsi="Times New Roman" w:cs="Times New Roman"/>
                <w:b/>
                <w:bCs/>
                <w:kern w:val="0"/>
                <w:sz w:val="24"/>
                <w:szCs w:val="24"/>
                <w14:ligatures w14:val="none"/>
              </w:rPr>
              <w:t>Land use</w:t>
            </w:r>
          </w:p>
        </w:tc>
        <w:tc>
          <w:tcPr>
            <w:tcW w:w="2035" w:type="dxa"/>
            <w:gridSpan w:val="2"/>
            <w:tcBorders>
              <w:top w:val="nil"/>
              <w:left w:val="nil"/>
              <w:bottom w:val="nil"/>
              <w:right w:val="nil"/>
            </w:tcBorders>
            <w:shd w:val="clear" w:color="auto" w:fill="auto"/>
            <w:noWrap/>
            <w:vAlign w:val="center"/>
            <w:hideMark/>
          </w:tcPr>
          <w:p w14:paraId="224999B6" w14:textId="74AC9ECF"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2020</w:t>
            </w:r>
          </w:p>
        </w:tc>
        <w:tc>
          <w:tcPr>
            <w:tcW w:w="2035" w:type="dxa"/>
            <w:gridSpan w:val="2"/>
            <w:tcBorders>
              <w:top w:val="nil"/>
              <w:left w:val="nil"/>
              <w:bottom w:val="nil"/>
              <w:right w:val="nil"/>
            </w:tcBorders>
            <w:shd w:val="clear" w:color="auto" w:fill="auto"/>
            <w:noWrap/>
            <w:vAlign w:val="center"/>
            <w:hideMark/>
          </w:tcPr>
          <w:p w14:paraId="7C9A8FB7" w14:textId="77777777"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2050</w:t>
            </w:r>
          </w:p>
        </w:tc>
        <w:tc>
          <w:tcPr>
            <w:tcW w:w="1335" w:type="dxa"/>
            <w:tcBorders>
              <w:top w:val="nil"/>
              <w:left w:val="nil"/>
              <w:bottom w:val="nil"/>
              <w:right w:val="nil"/>
            </w:tcBorders>
            <w:shd w:val="clear" w:color="auto" w:fill="auto"/>
            <w:noWrap/>
            <w:vAlign w:val="center"/>
            <w:hideMark/>
          </w:tcPr>
          <w:p w14:paraId="508863F4"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Change 2020-2050</w:t>
            </w:r>
          </w:p>
        </w:tc>
        <w:tc>
          <w:tcPr>
            <w:tcW w:w="1738" w:type="dxa"/>
            <w:tcBorders>
              <w:top w:val="nil"/>
              <w:left w:val="nil"/>
              <w:bottom w:val="nil"/>
              <w:right w:val="nil"/>
            </w:tcBorders>
            <w:shd w:val="clear" w:color="auto" w:fill="auto"/>
            <w:noWrap/>
            <w:vAlign w:val="center"/>
            <w:hideMark/>
          </w:tcPr>
          <w:p w14:paraId="1B6F66E1"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Remarks</w:t>
            </w:r>
          </w:p>
        </w:tc>
      </w:tr>
      <w:tr w:rsidR="00BD3935" w:rsidRPr="00BD3935" w14:paraId="015D4F56" w14:textId="77777777" w:rsidTr="00170EAD">
        <w:trPr>
          <w:trHeight w:val="249"/>
        </w:trPr>
        <w:tc>
          <w:tcPr>
            <w:tcW w:w="1474" w:type="dxa"/>
            <w:tcBorders>
              <w:top w:val="nil"/>
              <w:left w:val="nil"/>
              <w:bottom w:val="nil"/>
              <w:right w:val="nil"/>
            </w:tcBorders>
            <w:shd w:val="clear" w:color="auto" w:fill="auto"/>
            <w:noWrap/>
            <w:vAlign w:val="bottom"/>
            <w:hideMark/>
          </w:tcPr>
          <w:p w14:paraId="40D2AD93" w14:textId="35AE0A81"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p>
        </w:tc>
        <w:tc>
          <w:tcPr>
            <w:tcW w:w="1157" w:type="dxa"/>
            <w:tcBorders>
              <w:top w:val="nil"/>
              <w:left w:val="nil"/>
              <w:bottom w:val="nil"/>
              <w:right w:val="nil"/>
            </w:tcBorders>
            <w:shd w:val="clear" w:color="auto" w:fill="auto"/>
            <w:noWrap/>
            <w:vAlign w:val="center"/>
            <w:hideMark/>
          </w:tcPr>
          <w:p w14:paraId="6D59C999"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Area (km2)</w:t>
            </w:r>
          </w:p>
        </w:tc>
        <w:tc>
          <w:tcPr>
            <w:tcW w:w="878" w:type="dxa"/>
            <w:tcBorders>
              <w:top w:val="nil"/>
              <w:left w:val="nil"/>
              <w:bottom w:val="nil"/>
              <w:right w:val="nil"/>
            </w:tcBorders>
            <w:shd w:val="clear" w:color="auto" w:fill="auto"/>
            <w:noWrap/>
            <w:vAlign w:val="center"/>
            <w:hideMark/>
          </w:tcPr>
          <w:p w14:paraId="2897F3AF" w14:textId="04D9B3A9"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w:t>
            </w:r>
          </w:p>
        </w:tc>
        <w:tc>
          <w:tcPr>
            <w:tcW w:w="1157" w:type="dxa"/>
            <w:tcBorders>
              <w:top w:val="nil"/>
              <w:left w:val="nil"/>
              <w:bottom w:val="nil"/>
              <w:right w:val="nil"/>
            </w:tcBorders>
            <w:shd w:val="clear" w:color="auto" w:fill="auto"/>
            <w:noWrap/>
            <w:vAlign w:val="center"/>
            <w:hideMark/>
          </w:tcPr>
          <w:p w14:paraId="686C5936"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Area (km2)</w:t>
            </w:r>
          </w:p>
        </w:tc>
        <w:tc>
          <w:tcPr>
            <w:tcW w:w="878" w:type="dxa"/>
            <w:tcBorders>
              <w:top w:val="nil"/>
              <w:left w:val="nil"/>
              <w:bottom w:val="nil"/>
              <w:right w:val="nil"/>
            </w:tcBorders>
            <w:shd w:val="clear" w:color="auto" w:fill="auto"/>
            <w:noWrap/>
            <w:vAlign w:val="center"/>
            <w:hideMark/>
          </w:tcPr>
          <w:p w14:paraId="1FA76840" w14:textId="77777777"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w:t>
            </w:r>
          </w:p>
        </w:tc>
        <w:tc>
          <w:tcPr>
            <w:tcW w:w="1335" w:type="dxa"/>
            <w:tcBorders>
              <w:top w:val="nil"/>
              <w:left w:val="nil"/>
              <w:bottom w:val="nil"/>
              <w:right w:val="nil"/>
            </w:tcBorders>
            <w:shd w:val="clear" w:color="auto" w:fill="auto"/>
            <w:noWrap/>
            <w:vAlign w:val="center"/>
            <w:hideMark/>
          </w:tcPr>
          <w:p w14:paraId="2DFBED66"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[in area(%)]</w:t>
            </w:r>
          </w:p>
          <w:p w14:paraId="74572DD9"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p>
        </w:tc>
        <w:tc>
          <w:tcPr>
            <w:tcW w:w="1738" w:type="dxa"/>
            <w:tcBorders>
              <w:top w:val="nil"/>
              <w:left w:val="nil"/>
              <w:bottom w:val="nil"/>
              <w:right w:val="nil"/>
            </w:tcBorders>
            <w:shd w:val="clear" w:color="auto" w:fill="auto"/>
            <w:noWrap/>
            <w:hideMark/>
          </w:tcPr>
          <w:p w14:paraId="4F86CC6D"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p>
        </w:tc>
      </w:tr>
      <w:tr w:rsidR="00BD3935" w:rsidRPr="00BD3935" w14:paraId="1416E5DA" w14:textId="77777777" w:rsidTr="00170EAD">
        <w:trPr>
          <w:trHeight w:val="249"/>
        </w:trPr>
        <w:tc>
          <w:tcPr>
            <w:tcW w:w="1474" w:type="dxa"/>
            <w:tcBorders>
              <w:top w:val="nil"/>
              <w:left w:val="nil"/>
              <w:bottom w:val="nil"/>
              <w:right w:val="nil"/>
            </w:tcBorders>
            <w:shd w:val="clear" w:color="auto" w:fill="auto"/>
            <w:noWrap/>
            <w:vAlign w:val="center"/>
            <w:hideMark/>
          </w:tcPr>
          <w:p w14:paraId="73B952A2"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Bareland /Spare Vegetation</w:t>
            </w:r>
          </w:p>
        </w:tc>
        <w:tc>
          <w:tcPr>
            <w:tcW w:w="1157" w:type="dxa"/>
            <w:tcBorders>
              <w:top w:val="nil"/>
              <w:left w:val="nil"/>
              <w:bottom w:val="nil"/>
              <w:right w:val="nil"/>
            </w:tcBorders>
            <w:shd w:val="clear" w:color="auto" w:fill="auto"/>
            <w:noWrap/>
            <w:vAlign w:val="center"/>
            <w:hideMark/>
          </w:tcPr>
          <w:p w14:paraId="27A3FA21"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184</w:t>
            </w:r>
          </w:p>
        </w:tc>
        <w:tc>
          <w:tcPr>
            <w:tcW w:w="878" w:type="dxa"/>
            <w:tcBorders>
              <w:top w:val="nil"/>
              <w:left w:val="nil"/>
              <w:bottom w:val="nil"/>
              <w:right w:val="nil"/>
            </w:tcBorders>
            <w:shd w:val="clear" w:color="auto" w:fill="auto"/>
            <w:noWrap/>
            <w:vAlign w:val="center"/>
            <w:hideMark/>
          </w:tcPr>
          <w:p w14:paraId="58BF8AF2" w14:textId="65465F89"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0.02</w:t>
            </w:r>
          </w:p>
        </w:tc>
        <w:tc>
          <w:tcPr>
            <w:tcW w:w="1157" w:type="dxa"/>
            <w:tcBorders>
              <w:top w:val="nil"/>
              <w:left w:val="nil"/>
              <w:bottom w:val="nil"/>
              <w:right w:val="nil"/>
            </w:tcBorders>
            <w:shd w:val="clear" w:color="auto" w:fill="auto"/>
            <w:noWrap/>
            <w:vAlign w:val="center"/>
            <w:hideMark/>
          </w:tcPr>
          <w:p w14:paraId="47424047" w14:textId="70D5D8CB"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b/>
                <w:bCs/>
                <w:noProof/>
                <w:kern w:val="0"/>
                <w:sz w:val="24"/>
                <w:szCs w:val="24"/>
              </w:rPr>
              <mc:AlternateContent>
                <mc:Choice Requires="wps">
                  <w:drawing>
                    <wp:anchor distT="0" distB="0" distL="114300" distR="114300" simplePos="0" relativeHeight="251737088" behindDoc="0" locked="0" layoutInCell="1" allowOverlap="1" wp14:anchorId="0CE5B2BA" wp14:editId="75F0744A">
                      <wp:simplePos x="0" y="0"/>
                      <wp:positionH relativeFrom="column">
                        <wp:posOffset>-1897380</wp:posOffset>
                      </wp:positionH>
                      <wp:positionV relativeFrom="paragraph">
                        <wp:posOffset>-53975</wp:posOffset>
                      </wp:positionV>
                      <wp:extent cx="4086225" cy="0"/>
                      <wp:effectExtent l="0" t="0" r="0" b="0"/>
                      <wp:wrapNone/>
                      <wp:docPr id="225908260" name="Straight Connector 1"/>
                      <wp:cNvGraphicFramePr/>
                      <a:graphic xmlns:a="http://schemas.openxmlformats.org/drawingml/2006/main">
                        <a:graphicData uri="http://schemas.microsoft.com/office/word/2010/wordprocessingShape">
                          <wps:wsp>
                            <wps:cNvCnPr/>
                            <wps:spPr>
                              <a:xfrm>
                                <a:off x="0" y="0"/>
                                <a:ext cx="408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97FF" id="Straight Connector 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4.25pt" to="172.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0QmQEAAIgDAAAOAAAAZHJzL2Uyb0RvYy54bWysU9uO0zAQfUfiHyy/06QVrF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" strokecolor="black [3200]" strokeweight=".5pt">
                      <v:stroke joinstyle="miter"/>
                    </v:line>
                  </w:pict>
                </mc:Fallback>
              </mc:AlternateContent>
            </w:r>
            <w:r w:rsidRPr="00BD3935">
              <w:rPr>
                <w:rFonts w:ascii="Times New Roman" w:eastAsia="Times New Roman" w:hAnsi="Times New Roman" w:cs="Times New Roman"/>
                <w:kern w:val="0"/>
                <w:sz w:val="24"/>
                <w:szCs w:val="24"/>
                <w14:ligatures w14:val="none"/>
              </w:rPr>
              <w:t>181</w:t>
            </w:r>
          </w:p>
        </w:tc>
        <w:tc>
          <w:tcPr>
            <w:tcW w:w="878" w:type="dxa"/>
            <w:tcBorders>
              <w:top w:val="nil"/>
              <w:left w:val="nil"/>
              <w:bottom w:val="nil"/>
              <w:right w:val="nil"/>
            </w:tcBorders>
            <w:shd w:val="clear" w:color="auto" w:fill="auto"/>
            <w:noWrap/>
            <w:vAlign w:val="center"/>
            <w:hideMark/>
          </w:tcPr>
          <w:p w14:paraId="53A8BFE1"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0.02</w:t>
            </w:r>
          </w:p>
        </w:tc>
        <w:tc>
          <w:tcPr>
            <w:tcW w:w="1335" w:type="dxa"/>
            <w:tcBorders>
              <w:top w:val="nil"/>
              <w:left w:val="nil"/>
              <w:bottom w:val="nil"/>
              <w:right w:val="nil"/>
            </w:tcBorders>
            <w:shd w:val="clear" w:color="auto" w:fill="auto"/>
            <w:noWrap/>
            <w:vAlign w:val="center"/>
            <w:hideMark/>
          </w:tcPr>
          <w:p w14:paraId="0BD5FDA6"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3 (1.6)</w:t>
            </w:r>
          </w:p>
        </w:tc>
        <w:tc>
          <w:tcPr>
            <w:tcW w:w="1738" w:type="dxa"/>
            <w:tcBorders>
              <w:top w:val="nil"/>
              <w:left w:val="nil"/>
              <w:bottom w:val="nil"/>
              <w:right w:val="nil"/>
            </w:tcBorders>
            <w:shd w:val="clear" w:color="auto" w:fill="auto"/>
            <w:noWrap/>
            <w:vAlign w:val="center"/>
            <w:hideMark/>
          </w:tcPr>
          <w:p w14:paraId="2B7073CA"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(Increased very slightly)</w:t>
            </w:r>
          </w:p>
        </w:tc>
      </w:tr>
      <w:tr w:rsidR="00BD3935" w:rsidRPr="00BD3935" w14:paraId="604AC9B0" w14:textId="77777777" w:rsidTr="00170EAD">
        <w:trPr>
          <w:trHeight w:val="249"/>
        </w:trPr>
        <w:tc>
          <w:tcPr>
            <w:tcW w:w="1474" w:type="dxa"/>
            <w:tcBorders>
              <w:top w:val="nil"/>
              <w:left w:val="nil"/>
              <w:bottom w:val="nil"/>
              <w:right w:val="nil"/>
            </w:tcBorders>
            <w:shd w:val="clear" w:color="auto" w:fill="auto"/>
            <w:noWrap/>
            <w:vAlign w:val="center"/>
            <w:hideMark/>
          </w:tcPr>
          <w:p w14:paraId="4D7C8B06" w14:textId="75DAFB0E"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Settlement</w:t>
            </w:r>
          </w:p>
        </w:tc>
        <w:tc>
          <w:tcPr>
            <w:tcW w:w="1157" w:type="dxa"/>
            <w:tcBorders>
              <w:top w:val="nil"/>
              <w:left w:val="nil"/>
              <w:bottom w:val="nil"/>
              <w:right w:val="nil"/>
            </w:tcBorders>
            <w:shd w:val="clear" w:color="auto" w:fill="auto"/>
            <w:noWrap/>
            <w:vAlign w:val="center"/>
            <w:hideMark/>
          </w:tcPr>
          <w:p w14:paraId="3DEE532D"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876</w:t>
            </w:r>
          </w:p>
        </w:tc>
        <w:tc>
          <w:tcPr>
            <w:tcW w:w="878" w:type="dxa"/>
            <w:tcBorders>
              <w:top w:val="nil"/>
              <w:left w:val="nil"/>
              <w:bottom w:val="nil"/>
              <w:right w:val="nil"/>
            </w:tcBorders>
            <w:shd w:val="clear" w:color="auto" w:fill="auto"/>
            <w:noWrap/>
            <w:vAlign w:val="center"/>
            <w:hideMark/>
          </w:tcPr>
          <w:p w14:paraId="7AF9B1B2" w14:textId="5DB4BD94"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0.09</w:t>
            </w:r>
          </w:p>
        </w:tc>
        <w:tc>
          <w:tcPr>
            <w:tcW w:w="1157" w:type="dxa"/>
            <w:tcBorders>
              <w:top w:val="nil"/>
              <w:left w:val="nil"/>
              <w:bottom w:val="nil"/>
              <w:right w:val="nil"/>
            </w:tcBorders>
            <w:shd w:val="clear" w:color="auto" w:fill="auto"/>
            <w:noWrap/>
            <w:vAlign w:val="center"/>
            <w:hideMark/>
          </w:tcPr>
          <w:p w14:paraId="5822FD63" w14:textId="512E322A"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947</w:t>
            </w:r>
          </w:p>
        </w:tc>
        <w:tc>
          <w:tcPr>
            <w:tcW w:w="878" w:type="dxa"/>
            <w:tcBorders>
              <w:top w:val="nil"/>
              <w:left w:val="nil"/>
              <w:bottom w:val="nil"/>
              <w:right w:val="nil"/>
            </w:tcBorders>
            <w:shd w:val="clear" w:color="auto" w:fill="auto"/>
            <w:noWrap/>
            <w:vAlign w:val="center"/>
            <w:hideMark/>
          </w:tcPr>
          <w:p w14:paraId="515FA564"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0.1</w:t>
            </w:r>
          </w:p>
        </w:tc>
        <w:tc>
          <w:tcPr>
            <w:tcW w:w="1335" w:type="dxa"/>
            <w:tcBorders>
              <w:top w:val="nil"/>
              <w:left w:val="nil"/>
              <w:bottom w:val="nil"/>
              <w:right w:val="nil"/>
            </w:tcBorders>
            <w:shd w:val="clear" w:color="auto" w:fill="auto"/>
            <w:noWrap/>
            <w:vAlign w:val="center"/>
            <w:hideMark/>
          </w:tcPr>
          <w:p w14:paraId="5D58D2C8"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71 (8.1)</w:t>
            </w:r>
          </w:p>
        </w:tc>
        <w:tc>
          <w:tcPr>
            <w:tcW w:w="1738" w:type="dxa"/>
            <w:tcBorders>
              <w:top w:val="nil"/>
              <w:left w:val="nil"/>
              <w:bottom w:val="nil"/>
              <w:right w:val="nil"/>
            </w:tcBorders>
            <w:shd w:val="clear" w:color="auto" w:fill="auto"/>
            <w:noWrap/>
            <w:vAlign w:val="center"/>
            <w:hideMark/>
          </w:tcPr>
          <w:p w14:paraId="339B1A40"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(Increased marginally)</w:t>
            </w:r>
          </w:p>
        </w:tc>
      </w:tr>
      <w:tr w:rsidR="00BD3935" w:rsidRPr="00BD3935" w14:paraId="25B9B06D" w14:textId="77777777" w:rsidTr="00170EAD">
        <w:trPr>
          <w:trHeight w:val="249"/>
        </w:trPr>
        <w:tc>
          <w:tcPr>
            <w:tcW w:w="1474" w:type="dxa"/>
            <w:tcBorders>
              <w:top w:val="nil"/>
              <w:left w:val="nil"/>
              <w:bottom w:val="nil"/>
              <w:right w:val="nil"/>
            </w:tcBorders>
            <w:shd w:val="clear" w:color="auto" w:fill="auto"/>
            <w:noWrap/>
            <w:vAlign w:val="center"/>
            <w:hideMark/>
          </w:tcPr>
          <w:p w14:paraId="302846DF"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Water Bodies</w:t>
            </w:r>
          </w:p>
        </w:tc>
        <w:tc>
          <w:tcPr>
            <w:tcW w:w="1157" w:type="dxa"/>
            <w:tcBorders>
              <w:top w:val="nil"/>
              <w:left w:val="nil"/>
              <w:bottom w:val="nil"/>
              <w:right w:val="nil"/>
            </w:tcBorders>
            <w:shd w:val="clear" w:color="auto" w:fill="auto"/>
            <w:noWrap/>
            <w:vAlign w:val="center"/>
            <w:hideMark/>
          </w:tcPr>
          <w:p w14:paraId="14339C00"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3,996</w:t>
            </w:r>
          </w:p>
        </w:tc>
        <w:tc>
          <w:tcPr>
            <w:tcW w:w="878" w:type="dxa"/>
            <w:tcBorders>
              <w:top w:val="nil"/>
              <w:left w:val="nil"/>
              <w:bottom w:val="nil"/>
              <w:right w:val="nil"/>
            </w:tcBorders>
            <w:shd w:val="clear" w:color="auto" w:fill="auto"/>
            <w:noWrap/>
            <w:vAlign w:val="center"/>
            <w:hideMark/>
          </w:tcPr>
          <w:p w14:paraId="1AF46E50"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0.43</w:t>
            </w:r>
          </w:p>
        </w:tc>
        <w:tc>
          <w:tcPr>
            <w:tcW w:w="1157" w:type="dxa"/>
            <w:tcBorders>
              <w:top w:val="nil"/>
              <w:left w:val="nil"/>
              <w:bottom w:val="nil"/>
              <w:right w:val="nil"/>
            </w:tcBorders>
            <w:shd w:val="clear" w:color="auto" w:fill="auto"/>
            <w:noWrap/>
            <w:vAlign w:val="center"/>
            <w:hideMark/>
          </w:tcPr>
          <w:p w14:paraId="2E38C363" w14:textId="66CC7399"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3,994</w:t>
            </w:r>
          </w:p>
        </w:tc>
        <w:tc>
          <w:tcPr>
            <w:tcW w:w="878" w:type="dxa"/>
            <w:tcBorders>
              <w:top w:val="nil"/>
              <w:left w:val="nil"/>
              <w:bottom w:val="nil"/>
              <w:right w:val="nil"/>
            </w:tcBorders>
            <w:shd w:val="clear" w:color="auto" w:fill="auto"/>
            <w:noWrap/>
            <w:vAlign w:val="center"/>
            <w:hideMark/>
          </w:tcPr>
          <w:p w14:paraId="52AC7C03"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0.43</w:t>
            </w:r>
          </w:p>
        </w:tc>
        <w:tc>
          <w:tcPr>
            <w:tcW w:w="1335" w:type="dxa"/>
            <w:tcBorders>
              <w:top w:val="nil"/>
              <w:left w:val="nil"/>
              <w:bottom w:val="nil"/>
              <w:right w:val="nil"/>
            </w:tcBorders>
            <w:shd w:val="clear" w:color="auto" w:fill="auto"/>
            <w:noWrap/>
            <w:vAlign w:val="center"/>
            <w:hideMark/>
          </w:tcPr>
          <w:p w14:paraId="3E1E7122"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 (0.1)</w:t>
            </w:r>
          </w:p>
        </w:tc>
        <w:tc>
          <w:tcPr>
            <w:tcW w:w="1738" w:type="dxa"/>
            <w:tcBorders>
              <w:top w:val="nil"/>
              <w:left w:val="nil"/>
              <w:bottom w:val="nil"/>
              <w:right w:val="nil"/>
            </w:tcBorders>
            <w:shd w:val="clear" w:color="auto" w:fill="auto"/>
            <w:noWrap/>
            <w:vAlign w:val="center"/>
            <w:hideMark/>
          </w:tcPr>
          <w:p w14:paraId="30E6EA5D"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(Decreased very slightly)</w:t>
            </w:r>
          </w:p>
        </w:tc>
      </w:tr>
      <w:tr w:rsidR="00BD3935" w:rsidRPr="00BD3935" w14:paraId="0A98FB71" w14:textId="77777777" w:rsidTr="00170EAD">
        <w:trPr>
          <w:trHeight w:val="249"/>
        </w:trPr>
        <w:tc>
          <w:tcPr>
            <w:tcW w:w="1474" w:type="dxa"/>
            <w:tcBorders>
              <w:top w:val="nil"/>
              <w:left w:val="nil"/>
              <w:bottom w:val="nil"/>
              <w:right w:val="nil"/>
            </w:tcBorders>
            <w:shd w:val="clear" w:color="auto" w:fill="auto"/>
            <w:noWrap/>
            <w:vAlign w:val="center"/>
            <w:hideMark/>
          </w:tcPr>
          <w:p w14:paraId="5FB219BE"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Wetland</w:t>
            </w:r>
          </w:p>
        </w:tc>
        <w:tc>
          <w:tcPr>
            <w:tcW w:w="1157" w:type="dxa"/>
            <w:tcBorders>
              <w:top w:val="nil"/>
              <w:left w:val="nil"/>
              <w:bottom w:val="nil"/>
              <w:right w:val="nil"/>
            </w:tcBorders>
            <w:shd w:val="clear" w:color="auto" w:fill="auto"/>
            <w:noWrap/>
            <w:vAlign w:val="center"/>
            <w:hideMark/>
          </w:tcPr>
          <w:p w14:paraId="4E926730"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22,885</w:t>
            </w:r>
          </w:p>
        </w:tc>
        <w:tc>
          <w:tcPr>
            <w:tcW w:w="878" w:type="dxa"/>
            <w:tcBorders>
              <w:top w:val="nil"/>
              <w:left w:val="nil"/>
              <w:bottom w:val="nil"/>
              <w:right w:val="nil"/>
            </w:tcBorders>
            <w:shd w:val="clear" w:color="auto" w:fill="auto"/>
            <w:noWrap/>
            <w:vAlign w:val="center"/>
            <w:hideMark/>
          </w:tcPr>
          <w:p w14:paraId="618D7C1F"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2.45</w:t>
            </w:r>
          </w:p>
        </w:tc>
        <w:tc>
          <w:tcPr>
            <w:tcW w:w="1157" w:type="dxa"/>
            <w:tcBorders>
              <w:top w:val="nil"/>
              <w:left w:val="nil"/>
              <w:bottom w:val="nil"/>
              <w:right w:val="nil"/>
            </w:tcBorders>
            <w:shd w:val="clear" w:color="auto" w:fill="auto"/>
            <w:noWrap/>
            <w:vAlign w:val="center"/>
            <w:hideMark/>
          </w:tcPr>
          <w:p w14:paraId="0BDF8962" w14:textId="55E000ED"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22,761</w:t>
            </w:r>
          </w:p>
        </w:tc>
        <w:tc>
          <w:tcPr>
            <w:tcW w:w="878" w:type="dxa"/>
            <w:tcBorders>
              <w:top w:val="nil"/>
              <w:left w:val="nil"/>
              <w:bottom w:val="nil"/>
              <w:right w:val="nil"/>
            </w:tcBorders>
            <w:shd w:val="clear" w:color="auto" w:fill="auto"/>
            <w:noWrap/>
            <w:vAlign w:val="center"/>
            <w:hideMark/>
          </w:tcPr>
          <w:p w14:paraId="19A61918"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2.44</w:t>
            </w:r>
          </w:p>
        </w:tc>
        <w:tc>
          <w:tcPr>
            <w:tcW w:w="1335" w:type="dxa"/>
            <w:tcBorders>
              <w:top w:val="nil"/>
              <w:left w:val="nil"/>
              <w:bottom w:val="nil"/>
              <w:right w:val="nil"/>
            </w:tcBorders>
            <w:shd w:val="clear" w:color="auto" w:fill="auto"/>
            <w:noWrap/>
            <w:vAlign w:val="center"/>
            <w:hideMark/>
          </w:tcPr>
          <w:p w14:paraId="141D72CE"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124 (0.5)</w:t>
            </w:r>
          </w:p>
        </w:tc>
        <w:tc>
          <w:tcPr>
            <w:tcW w:w="1738" w:type="dxa"/>
            <w:tcBorders>
              <w:top w:val="nil"/>
              <w:left w:val="nil"/>
              <w:bottom w:val="nil"/>
              <w:right w:val="nil"/>
            </w:tcBorders>
            <w:shd w:val="clear" w:color="auto" w:fill="auto"/>
            <w:noWrap/>
            <w:vAlign w:val="center"/>
            <w:hideMark/>
          </w:tcPr>
          <w:p w14:paraId="48CA0E72"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(Decreased very slightly)</w:t>
            </w:r>
          </w:p>
        </w:tc>
      </w:tr>
      <w:tr w:rsidR="00BD3935" w:rsidRPr="00BD3935" w14:paraId="6FC552C9" w14:textId="77777777" w:rsidTr="00170EAD">
        <w:trPr>
          <w:trHeight w:val="249"/>
        </w:trPr>
        <w:tc>
          <w:tcPr>
            <w:tcW w:w="1474" w:type="dxa"/>
            <w:tcBorders>
              <w:top w:val="nil"/>
              <w:left w:val="nil"/>
              <w:bottom w:val="nil"/>
              <w:right w:val="nil"/>
            </w:tcBorders>
            <w:shd w:val="clear" w:color="auto" w:fill="auto"/>
            <w:noWrap/>
            <w:vAlign w:val="center"/>
            <w:hideMark/>
          </w:tcPr>
          <w:p w14:paraId="29F2D13A"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Shrubland</w:t>
            </w:r>
          </w:p>
        </w:tc>
        <w:tc>
          <w:tcPr>
            <w:tcW w:w="1157" w:type="dxa"/>
            <w:tcBorders>
              <w:top w:val="nil"/>
              <w:left w:val="nil"/>
              <w:bottom w:val="nil"/>
              <w:right w:val="nil"/>
            </w:tcBorders>
            <w:shd w:val="clear" w:color="auto" w:fill="auto"/>
            <w:noWrap/>
            <w:vAlign w:val="center"/>
            <w:hideMark/>
          </w:tcPr>
          <w:p w14:paraId="63517A3B"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29,755</w:t>
            </w:r>
          </w:p>
        </w:tc>
        <w:tc>
          <w:tcPr>
            <w:tcW w:w="878" w:type="dxa"/>
            <w:tcBorders>
              <w:top w:val="nil"/>
              <w:left w:val="nil"/>
              <w:bottom w:val="nil"/>
              <w:right w:val="nil"/>
            </w:tcBorders>
            <w:shd w:val="clear" w:color="auto" w:fill="auto"/>
            <w:noWrap/>
            <w:vAlign w:val="center"/>
            <w:hideMark/>
          </w:tcPr>
          <w:p w14:paraId="47CB134F"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3.18</w:t>
            </w:r>
          </w:p>
        </w:tc>
        <w:tc>
          <w:tcPr>
            <w:tcW w:w="1157" w:type="dxa"/>
            <w:tcBorders>
              <w:top w:val="nil"/>
              <w:left w:val="nil"/>
              <w:bottom w:val="nil"/>
              <w:right w:val="nil"/>
            </w:tcBorders>
            <w:shd w:val="clear" w:color="auto" w:fill="auto"/>
            <w:noWrap/>
            <w:vAlign w:val="center"/>
            <w:hideMark/>
          </w:tcPr>
          <w:p w14:paraId="54B08A6D" w14:textId="6C6CB7AE"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28,613</w:t>
            </w:r>
          </w:p>
        </w:tc>
        <w:tc>
          <w:tcPr>
            <w:tcW w:w="878" w:type="dxa"/>
            <w:tcBorders>
              <w:top w:val="nil"/>
              <w:left w:val="nil"/>
              <w:bottom w:val="nil"/>
              <w:right w:val="nil"/>
            </w:tcBorders>
            <w:shd w:val="clear" w:color="auto" w:fill="auto"/>
            <w:noWrap/>
            <w:vAlign w:val="center"/>
            <w:hideMark/>
          </w:tcPr>
          <w:p w14:paraId="13BB5171"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3.06</w:t>
            </w:r>
          </w:p>
        </w:tc>
        <w:tc>
          <w:tcPr>
            <w:tcW w:w="1335" w:type="dxa"/>
            <w:tcBorders>
              <w:top w:val="nil"/>
              <w:left w:val="nil"/>
              <w:bottom w:val="nil"/>
              <w:right w:val="nil"/>
            </w:tcBorders>
            <w:shd w:val="clear" w:color="auto" w:fill="auto"/>
            <w:noWrap/>
            <w:vAlign w:val="center"/>
            <w:hideMark/>
          </w:tcPr>
          <w:p w14:paraId="1430075D"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1,142 (3.8)</w:t>
            </w:r>
          </w:p>
        </w:tc>
        <w:tc>
          <w:tcPr>
            <w:tcW w:w="1738" w:type="dxa"/>
            <w:tcBorders>
              <w:top w:val="nil"/>
              <w:left w:val="nil"/>
              <w:bottom w:val="nil"/>
              <w:right w:val="nil"/>
            </w:tcBorders>
            <w:shd w:val="clear" w:color="auto" w:fill="auto"/>
            <w:noWrap/>
            <w:vAlign w:val="center"/>
            <w:hideMark/>
          </w:tcPr>
          <w:p w14:paraId="11972DD1"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(Decreased marginally)</w:t>
            </w:r>
          </w:p>
        </w:tc>
      </w:tr>
      <w:tr w:rsidR="00BD3935" w:rsidRPr="00BD3935" w14:paraId="17532354" w14:textId="77777777" w:rsidTr="00170EAD">
        <w:trPr>
          <w:trHeight w:val="249"/>
        </w:trPr>
        <w:tc>
          <w:tcPr>
            <w:tcW w:w="1474" w:type="dxa"/>
            <w:tcBorders>
              <w:top w:val="nil"/>
              <w:left w:val="nil"/>
              <w:bottom w:val="nil"/>
              <w:right w:val="nil"/>
            </w:tcBorders>
            <w:shd w:val="clear" w:color="auto" w:fill="auto"/>
            <w:noWrap/>
            <w:vAlign w:val="center"/>
            <w:hideMark/>
          </w:tcPr>
          <w:p w14:paraId="0005DB24"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Croplands</w:t>
            </w:r>
          </w:p>
        </w:tc>
        <w:tc>
          <w:tcPr>
            <w:tcW w:w="1157" w:type="dxa"/>
            <w:tcBorders>
              <w:top w:val="nil"/>
              <w:left w:val="nil"/>
              <w:bottom w:val="nil"/>
              <w:right w:val="nil"/>
            </w:tcBorders>
            <w:shd w:val="clear" w:color="auto" w:fill="auto"/>
            <w:noWrap/>
            <w:vAlign w:val="center"/>
            <w:hideMark/>
          </w:tcPr>
          <w:p w14:paraId="7BB499C4"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129,714</w:t>
            </w:r>
          </w:p>
        </w:tc>
        <w:tc>
          <w:tcPr>
            <w:tcW w:w="878" w:type="dxa"/>
            <w:tcBorders>
              <w:top w:val="nil"/>
              <w:left w:val="nil"/>
              <w:bottom w:val="nil"/>
              <w:right w:val="nil"/>
            </w:tcBorders>
            <w:shd w:val="clear" w:color="auto" w:fill="auto"/>
            <w:noWrap/>
            <w:vAlign w:val="center"/>
            <w:hideMark/>
          </w:tcPr>
          <w:p w14:paraId="5A7BDC0E"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13.88</w:t>
            </w:r>
          </w:p>
        </w:tc>
        <w:tc>
          <w:tcPr>
            <w:tcW w:w="1157" w:type="dxa"/>
            <w:tcBorders>
              <w:top w:val="nil"/>
              <w:left w:val="nil"/>
              <w:bottom w:val="nil"/>
              <w:right w:val="nil"/>
            </w:tcBorders>
            <w:shd w:val="clear" w:color="auto" w:fill="auto"/>
            <w:noWrap/>
            <w:vAlign w:val="center"/>
            <w:hideMark/>
          </w:tcPr>
          <w:p w14:paraId="5CB5E36B" w14:textId="6C66ED3C"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230,317</w:t>
            </w:r>
          </w:p>
        </w:tc>
        <w:tc>
          <w:tcPr>
            <w:tcW w:w="878" w:type="dxa"/>
            <w:tcBorders>
              <w:top w:val="nil"/>
              <w:left w:val="nil"/>
              <w:bottom w:val="nil"/>
              <w:right w:val="nil"/>
            </w:tcBorders>
            <w:shd w:val="clear" w:color="auto" w:fill="auto"/>
            <w:noWrap/>
            <w:vAlign w:val="center"/>
            <w:hideMark/>
          </w:tcPr>
          <w:p w14:paraId="48E27402"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24.64</w:t>
            </w:r>
          </w:p>
        </w:tc>
        <w:tc>
          <w:tcPr>
            <w:tcW w:w="1335" w:type="dxa"/>
            <w:tcBorders>
              <w:top w:val="nil"/>
              <w:left w:val="nil"/>
              <w:bottom w:val="nil"/>
              <w:right w:val="nil"/>
            </w:tcBorders>
            <w:shd w:val="clear" w:color="auto" w:fill="auto"/>
            <w:noWrap/>
            <w:vAlign w:val="center"/>
            <w:hideMark/>
          </w:tcPr>
          <w:p w14:paraId="32895F66"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100,603 (77.6)</w:t>
            </w:r>
          </w:p>
        </w:tc>
        <w:tc>
          <w:tcPr>
            <w:tcW w:w="1738" w:type="dxa"/>
            <w:tcBorders>
              <w:top w:val="nil"/>
              <w:left w:val="nil"/>
              <w:bottom w:val="nil"/>
              <w:right w:val="nil"/>
            </w:tcBorders>
            <w:shd w:val="clear" w:color="auto" w:fill="auto"/>
            <w:noWrap/>
            <w:vAlign w:val="center"/>
            <w:hideMark/>
          </w:tcPr>
          <w:p w14:paraId="5B1D8A65"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(Increased very significantly</w:t>
            </w:r>
          </w:p>
        </w:tc>
      </w:tr>
      <w:tr w:rsidR="00BD3935" w:rsidRPr="00BD3935" w14:paraId="2FFB6DED" w14:textId="77777777" w:rsidTr="00170EAD">
        <w:trPr>
          <w:trHeight w:val="249"/>
        </w:trPr>
        <w:tc>
          <w:tcPr>
            <w:tcW w:w="1474" w:type="dxa"/>
            <w:tcBorders>
              <w:top w:val="nil"/>
              <w:left w:val="nil"/>
              <w:bottom w:val="nil"/>
              <w:right w:val="nil"/>
            </w:tcBorders>
            <w:shd w:val="clear" w:color="auto" w:fill="auto"/>
            <w:noWrap/>
            <w:vAlign w:val="center"/>
            <w:hideMark/>
          </w:tcPr>
          <w:p w14:paraId="6B7F10CD"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Pastures</w:t>
            </w:r>
          </w:p>
        </w:tc>
        <w:tc>
          <w:tcPr>
            <w:tcW w:w="1157" w:type="dxa"/>
            <w:tcBorders>
              <w:top w:val="nil"/>
              <w:left w:val="nil"/>
              <w:bottom w:val="nil"/>
              <w:right w:val="nil"/>
            </w:tcBorders>
            <w:shd w:val="clear" w:color="auto" w:fill="auto"/>
            <w:noWrap/>
            <w:vAlign w:val="center"/>
            <w:hideMark/>
          </w:tcPr>
          <w:p w14:paraId="04B466A9"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242,417</w:t>
            </w:r>
          </w:p>
        </w:tc>
        <w:tc>
          <w:tcPr>
            <w:tcW w:w="878" w:type="dxa"/>
            <w:tcBorders>
              <w:top w:val="nil"/>
              <w:left w:val="nil"/>
              <w:bottom w:val="nil"/>
              <w:right w:val="nil"/>
            </w:tcBorders>
            <w:shd w:val="clear" w:color="auto" w:fill="auto"/>
            <w:noWrap/>
            <w:vAlign w:val="center"/>
            <w:hideMark/>
          </w:tcPr>
          <w:p w14:paraId="17D32150"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25.94</w:t>
            </w:r>
          </w:p>
        </w:tc>
        <w:tc>
          <w:tcPr>
            <w:tcW w:w="1157" w:type="dxa"/>
            <w:tcBorders>
              <w:top w:val="nil"/>
              <w:left w:val="nil"/>
              <w:bottom w:val="nil"/>
              <w:right w:val="nil"/>
            </w:tcBorders>
            <w:shd w:val="clear" w:color="auto" w:fill="auto"/>
            <w:noWrap/>
            <w:vAlign w:val="center"/>
            <w:hideMark/>
          </w:tcPr>
          <w:p w14:paraId="19B1AB38" w14:textId="19853D2E"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165,835</w:t>
            </w:r>
          </w:p>
        </w:tc>
        <w:tc>
          <w:tcPr>
            <w:tcW w:w="878" w:type="dxa"/>
            <w:tcBorders>
              <w:top w:val="nil"/>
              <w:left w:val="nil"/>
              <w:bottom w:val="nil"/>
              <w:right w:val="nil"/>
            </w:tcBorders>
            <w:shd w:val="clear" w:color="auto" w:fill="auto"/>
            <w:noWrap/>
            <w:vAlign w:val="center"/>
            <w:hideMark/>
          </w:tcPr>
          <w:p w14:paraId="50023CD0"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17.84</w:t>
            </w:r>
          </w:p>
        </w:tc>
        <w:tc>
          <w:tcPr>
            <w:tcW w:w="1335" w:type="dxa"/>
            <w:tcBorders>
              <w:top w:val="nil"/>
              <w:left w:val="nil"/>
              <w:bottom w:val="nil"/>
              <w:right w:val="nil"/>
            </w:tcBorders>
            <w:shd w:val="clear" w:color="auto" w:fill="auto"/>
            <w:noWrap/>
            <w:vAlign w:val="center"/>
            <w:hideMark/>
          </w:tcPr>
          <w:p w14:paraId="00E3DD9E"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76,582 (31.6)</w:t>
            </w:r>
          </w:p>
        </w:tc>
        <w:tc>
          <w:tcPr>
            <w:tcW w:w="1738" w:type="dxa"/>
            <w:tcBorders>
              <w:top w:val="nil"/>
              <w:left w:val="nil"/>
              <w:bottom w:val="nil"/>
              <w:right w:val="nil"/>
            </w:tcBorders>
            <w:shd w:val="clear" w:color="auto" w:fill="auto"/>
            <w:noWrap/>
            <w:vAlign w:val="center"/>
            <w:hideMark/>
          </w:tcPr>
          <w:p w14:paraId="40B9B903"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(Decreased very significantly)</w:t>
            </w:r>
          </w:p>
        </w:tc>
      </w:tr>
      <w:tr w:rsidR="00BD3935" w:rsidRPr="00BD3935" w14:paraId="455D4885" w14:textId="77777777" w:rsidTr="00170EAD">
        <w:trPr>
          <w:trHeight w:val="249"/>
        </w:trPr>
        <w:tc>
          <w:tcPr>
            <w:tcW w:w="1474" w:type="dxa"/>
            <w:tcBorders>
              <w:top w:val="nil"/>
              <w:left w:val="nil"/>
              <w:bottom w:val="nil"/>
              <w:right w:val="nil"/>
            </w:tcBorders>
            <w:shd w:val="clear" w:color="auto" w:fill="auto"/>
            <w:noWrap/>
            <w:vAlign w:val="center"/>
            <w:hideMark/>
          </w:tcPr>
          <w:p w14:paraId="5BB4E720"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Forests</w:t>
            </w:r>
          </w:p>
        </w:tc>
        <w:tc>
          <w:tcPr>
            <w:tcW w:w="1157" w:type="dxa"/>
            <w:tcBorders>
              <w:top w:val="nil"/>
              <w:left w:val="nil"/>
              <w:bottom w:val="nil"/>
              <w:right w:val="nil"/>
            </w:tcBorders>
            <w:shd w:val="clear" w:color="auto" w:fill="auto"/>
            <w:noWrap/>
            <w:vAlign w:val="center"/>
            <w:hideMark/>
          </w:tcPr>
          <w:p w14:paraId="4613A226"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504,825</w:t>
            </w:r>
          </w:p>
        </w:tc>
        <w:tc>
          <w:tcPr>
            <w:tcW w:w="878" w:type="dxa"/>
            <w:tcBorders>
              <w:top w:val="nil"/>
              <w:left w:val="nil"/>
              <w:bottom w:val="nil"/>
              <w:right w:val="nil"/>
            </w:tcBorders>
            <w:shd w:val="clear" w:color="auto" w:fill="auto"/>
            <w:noWrap/>
            <w:vAlign w:val="center"/>
            <w:hideMark/>
          </w:tcPr>
          <w:p w14:paraId="7A405861"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54.01</w:t>
            </w:r>
          </w:p>
        </w:tc>
        <w:tc>
          <w:tcPr>
            <w:tcW w:w="1157" w:type="dxa"/>
            <w:tcBorders>
              <w:top w:val="nil"/>
              <w:left w:val="nil"/>
              <w:bottom w:val="nil"/>
              <w:right w:val="nil"/>
            </w:tcBorders>
            <w:shd w:val="clear" w:color="auto" w:fill="auto"/>
            <w:noWrap/>
            <w:vAlign w:val="center"/>
            <w:hideMark/>
          </w:tcPr>
          <w:p w14:paraId="118B7382" w14:textId="0846AEA9"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482,004</w:t>
            </w:r>
          </w:p>
        </w:tc>
        <w:tc>
          <w:tcPr>
            <w:tcW w:w="878" w:type="dxa"/>
            <w:tcBorders>
              <w:top w:val="nil"/>
              <w:left w:val="nil"/>
              <w:bottom w:val="nil"/>
              <w:right w:val="nil"/>
            </w:tcBorders>
            <w:shd w:val="clear" w:color="auto" w:fill="auto"/>
            <w:noWrap/>
            <w:vAlign w:val="center"/>
            <w:hideMark/>
          </w:tcPr>
          <w:p w14:paraId="2DDAF5DB"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51.47</w:t>
            </w:r>
          </w:p>
        </w:tc>
        <w:tc>
          <w:tcPr>
            <w:tcW w:w="1335" w:type="dxa"/>
            <w:tcBorders>
              <w:top w:val="nil"/>
              <w:left w:val="nil"/>
              <w:bottom w:val="nil"/>
              <w:right w:val="nil"/>
            </w:tcBorders>
            <w:shd w:val="clear" w:color="auto" w:fill="auto"/>
            <w:noWrap/>
            <w:vAlign w:val="center"/>
            <w:hideMark/>
          </w:tcPr>
          <w:p w14:paraId="44168BCE"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22,821 (4.5)</w:t>
            </w:r>
          </w:p>
        </w:tc>
        <w:tc>
          <w:tcPr>
            <w:tcW w:w="1738" w:type="dxa"/>
            <w:tcBorders>
              <w:top w:val="nil"/>
              <w:left w:val="nil"/>
              <w:bottom w:val="nil"/>
              <w:right w:val="nil"/>
            </w:tcBorders>
            <w:shd w:val="clear" w:color="auto" w:fill="auto"/>
            <w:noWrap/>
            <w:vAlign w:val="center"/>
            <w:hideMark/>
          </w:tcPr>
          <w:p w14:paraId="2FFE2EFC"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r w:rsidRPr="00BD3935">
              <w:rPr>
                <w:rFonts w:ascii="Times New Roman" w:eastAsia="Times New Roman" w:hAnsi="Times New Roman" w:cs="Times New Roman"/>
                <w:kern w:val="0"/>
                <w:sz w:val="24"/>
                <w:szCs w:val="24"/>
                <w14:ligatures w14:val="none"/>
              </w:rPr>
              <w:t>- (Decreased marginally)</w:t>
            </w:r>
          </w:p>
        </w:tc>
      </w:tr>
      <w:tr w:rsidR="00BD3935" w:rsidRPr="00BD3935" w14:paraId="682DDEC3" w14:textId="77777777" w:rsidTr="00170EAD">
        <w:trPr>
          <w:trHeight w:val="249"/>
        </w:trPr>
        <w:tc>
          <w:tcPr>
            <w:tcW w:w="1474" w:type="dxa"/>
            <w:tcBorders>
              <w:top w:val="nil"/>
              <w:left w:val="nil"/>
              <w:bottom w:val="nil"/>
              <w:right w:val="nil"/>
            </w:tcBorders>
            <w:shd w:val="clear" w:color="auto" w:fill="auto"/>
            <w:noWrap/>
            <w:vAlign w:val="center"/>
            <w:hideMark/>
          </w:tcPr>
          <w:p w14:paraId="26B40164" w14:textId="77777777" w:rsidR="004A7B75" w:rsidRPr="00BD3935" w:rsidRDefault="004A7B75" w:rsidP="004A7B75">
            <w:pPr>
              <w:spacing w:after="0" w:line="240" w:lineRule="auto"/>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TOTAL</w:t>
            </w:r>
          </w:p>
        </w:tc>
        <w:tc>
          <w:tcPr>
            <w:tcW w:w="1157" w:type="dxa"/>
            <w:tcBorders>
              <w:top w:val="nil"/>
              <w:left w:val="nil"/>
              <w:bottom w:val="nil"/>
              <w:right w:val="nil"/>
            </w:tcBorders>
            <w:shd w:val="clear" w:color="auto" w:fill="auto"/>
            <w:noWrap/>
            <w:vAlign w:val="center"/>
            <w:hideMark/>
          </w:tcPr>
          <w:p w14:paraId="62A62275" w14:textId="77777777"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934,652</w:t>
            </w:r>
          </w:p>
        </w:tc>
        <w:tc>
          <w:tcPr>
            <w:tcW w:w="878" w:type="dxa"/>
            <w:tcBorders>
              <w:top w:val="nil"/>
              <w:left w:val="nil"/>
              <w:bottom w:val="nil"/>
              <w:right w:val="nil"/>
            </w:tcBorders>
            <w:shd w:val="clear" w:color="auto" w:fill="auto"/>
            <w:noWrap/>
            <w:vAlign w:val="center"/>
            <w:hideMark/>
          </w:tcPr>
          <w:p w14:paraId="1A84C723" w14:textId="77777777"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100</w:t>
            </w:r>
          </w:p>
        </w:tc>
        <w:tc>
          <w:tcPr>
            <w:tcW w:w="1157" w:type="dxa"/>
            <w:tcBorders>
              <w:top w:val="nil"/>
              <w:left w:val="nil"/>
              <w:bottom w:val="nil"/>
              <w:right w:val="nil"/>
            </w:tcBorders>
            <w:shd w:val="clear" w:color="auto" w:fill="auto"/>
            <w:noWrap/>
            <w:vAlign w:val="center"/>
            <w:hideMark/>
          </w:tcPr>
          <w:p w14:paraId="72D83B04" w14:textId="3A8C3025"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934,652</w:t>
            </w:r>
          </w:p>
        </w:tc>
        <w:tc>
          <w:tcPr>
            <w:tcW w:w="878" w:type="dxa"/>
            <w:tcBorders>
              <w:top w:val="nil"/>
              <w:left w:val="nil"/>
              <w:bottom w:val="nil"/>
              <w:right w:val="nil"/>
            </w:tcBorders>
            <w:shd w:val="clear" w:color="auto" w:fill="auto"/>
            <w:noWrap/>
            <w:vAlign w:val="center"/>
            <w:hideMark/>
          </w:tcPr>
          <w:p w14:paraId="6C5CF638" w14:textId="77777777" w:rsidR="004A7B75" w:rsidRPr="00BD3935" w:rsidRDefault="004A7B75" w:rsidP="004A7B75">
            <w:pPr>
              <w:spacing w:after="0" w:line="240" w:lineRule="auto"/>
              <w:jc w:val="center"/>
              <w:rPr>
                <w:rFonts w:ascii="Times New Roman" w:eastAsia="Times New Roman" w:hAnsi="Times New Roman" w:cs="Times New Roman"/>
                <w:b/>
                <w:bCs/>
                <w:kern w:val="0"/>
                <w:sz w:val="24"/>
                <w:szCs w:val="24"/>
                <w14:ligatures w14:val="none"/>
              </w:rPr>
            </w:pPr>
            <w:r w:rsidRPr="00BD3935">
              <w:rPr>
                <w:rFonts w:ascii="Times New Roman" w:eastAsia="Times New Roman" w:hAnsi="Times New Roman" w:cs="Times New Roman"/>
                <w:b/>
                <w:bCs/>
                <w:kern w:val="0"/>
                <w:sz w:val="24"/>
                <w:szCs w:val="24"/>
                <w14:ligatures w14:val="none"/>
              </w:rPr>
              <w:t>100</w:t>
            </w:r>
          </w:p>
        </w:tc>
        <w:tc>
          <w:tcPr>
            <w:tcW w:w="1335" w:type="dxa"/>
            <w:tcBorders>
              <w:top w:val="nil"/>
              <w:left w:val="nil"/>
              <w:bottom w:val="nil"/>
              <w:right w:val="nil"/>
            </w:tcBorders>
            <w:shd w:val="clear" w:color="auto" w:fill="auto"/>
            <w:noWrap/>
            <w:hideMark/>
          </w:tcPr>
          <w:p w14:paraId="455EC698" w14:textId="77777777" w:rsidR="004A7B75" w:rsidRPr="00BD3935" w:rsidRDefault="004A7B75" w:rsidP="004A7B75">
            <w:pPr>
              <w:spacing w:after="0" w:line="240" w:lineRule="auto"/>
              <w:jc w:val="center"/>
              <w:rPr>
                <w:rFonts w:ascii="Times New Roman" w:eastAsia="Times New Roman" w:hAnsi="Times New Roman" w:cs="Times New Roman"/>
                <w:kern w:val="0"/>
                <w:sz w:val="24"/>
                <w:szCs w:val="24"/>
                <w14:ligatures w14:val="none"/>
              </w:rPr>
            </w:pPr>
          </w:p>
        </w:tc>
        <w:tc>
          <w:tcPr>
            <w:tcW w:w="1738" w:type="dxa"/>
            <w:tcBorders>
              <w:top w:val="nil"/>
              <w:left w:val="nil"/>
              <w:bottom w:val="nil"/>
              <w:right w:val="nil"/>
            </w:tcBorders>
            <w:shd w:val="clear" w:color="auto" w:fill="auto"/>
            <w:noWrap/>
            <w:hideMark/>
          </w:tcPr>
          <w:p w14:paraId="5FF57F9F" w14:textId="77777777" w:rsidR="004A7B75" w:rsidRPr="00BD3935" w:rsidRDefault="004A7B75" w:rsidP="004A7B75">
            <w:pPr>
              <w:spacing w:after="0" w:line="240" w:lineRule="auto"/>
              <w:rPr>
                <w:rFonts w:ascii="Times New Roman" w:eastAsia="Times New Roman" w:hAnsi="Times New Roman" w:cs="Times New Roman"/>
                <w:kern w:val="0"/>
                <w:sz w:val="24"/>
                <w:szCs w:val="24"/>
                <w14:ligatures w14:val="none"/>
              </w:rPr>
            </w:pPr>
          </w:p>
        </w:tc>
      </w:tr>
    </w:tbl>
    <w:bookmarkEnd w:id="12"/>
    <w:p w14:paraId="2B0F745C" w14:textId="65F1DF07" w:rsidR="004A7B75" w:rsidRPr="00BD3935" w:rsidRDefault="004A7B75" w:rsidP="008710DA">
      <w:r w:rsidRPr="00BD3935">
        <w:rPr>
          <w:rFonts w:ascii="Times New Roman" w:eastAsia="Times New Roman" w:hAnsi="Times New Roman" w:cs="Times New Roman"/>
          <w:b/>
          <w:bCs/>
          <w:noProof/>
          <w:kern w:val="0"/>
          <w:sz w:val="16"/>
          <w:szCs w:val="16"/>
        </w:rPr>
        <mc:AlternateContent>
          <mc:Choice Requires="wps">
            <w:drawing>
              <wp:anchor distT="0" distB="0" distL="114300" distR="114300" simplePos="0" relativeHeight="251739136" behindDoc="0" locked="0" layoutInCell="1" allowOverlap="1" wp14:anchorId="5DE17F35" wp14:editId="2EDA0865">
                <wp:simplePos x="0" y="0"/>
                <wp:positionH relativeFrom="column">
                  <wp:posOffset>0</wp:posOffset>
                </wp:positionH>
                <wp:positionV relativeFrom="paragraph">
                  <wp:posOffset>0</wp:posOffset>
                </wp:positionV>
                <wp:extent cx="4086225" cy="0"/>
                <wp:effectExtent l="0" t="0" r="0" b="0"/>
                <wp:wrapNone/>
                <wp:docPr id="92332479" name="Straight Connector 1"/>
                <wp:cNvGraphicFramePr/>
                <a:graphic xmlns:a="http://schemas.openxmlformats.org/drawingml/2006/main">
                  <a:graphicData uri="http://schemas.microsoft.com/office/word/2010/wordprocessingShape">
                    <wps:wsp>
                      <wps:cNvCnPr/>
                      <wps:spPr>
                        <a:xfrm>
                          <a:off x="0" y="0"/>
                          <a:ext cx="40862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374AD" id="Straight Connector 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0" to="321.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" strokecolor="windowText" strokeweight=".5pt">
                <v:stroke joinstyle="miter"/>
              </v:line>
            </w:pict>
          </mc:Fallback>
        </mc:AlternateContent>
      </w:r>
    </w:p>
    <w:bookmarkEnd w:id="11"/>
    <w:p w14:paraId="71638547" w14:textId="77777777" w:rsidR="005439A3" w:rsidRPr="00BD3935" w:rsidRDefault="005439A3" w:rsidP="005439A3">
      <w:r w:rsidRPr="00BD3935">
        <w:rPr>
          <w:noProof/>
        </w:rPr>
        <w:lastRenderedPageBreak/>
        <w:drawing>
          <wp:inline distT="0" distB="0" distL="0" distR="0" wp14:anchorId="15A32157" wp14:editId="2E42D4D5">
            <wp:extent cx="5887272" cy="4229690"/>
            <wp:effectExtent l="0" t="0" r="0" b="0"/>
            <wp:docPr id="185437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2597" name=""/>
                    <pic:cNvPicPr/>
                  </pic:nvPicPr>
                  <pic:blipFill>
                    <a:blip r:embed="rId8"/>
                    <a:stretch>
                      <a:fillRect/>
                    </a:stretch>
                  </pic:blipFill>
                  <pic:spPr>
                    <a:xfrm>
                      <a:off x="0" y="0"/>
                      <a:ext cx="5887272" cy="4229690"/>
                    </a:xfrm>
                    <a:prstGeom prst="rect">
                      <a:avLst/>
                    </a:prstGeom>
                  </pic:spPr>
                </pic:pic>
              </a:graphicData>
            </a:graphic>
          </wp:inline>
        </w:drawing>
      </w:r>
    </w:p>
    <w:p w14:paraId="11FCE989" w14:textId="79788C0E" w:rsidR="005439A3" w:rsidRPr="00BD3935" w:rsidRDefault="005439A3" w:rsidP="005439A3">
      <w:pPr>
        <w:rPr>
          <w:rFonts w:ascii="Times New Roman" w:hAnsi="Times New Roman" w:cs="Times New Roman"/>
        </w:rPr>
      </w:pPr>
      <w:r w:rsidRPr="00BD3935">
        <w:rPr>
          <w:rFonts w:ascii="Times New Roman" w:hAnsi="Times New Roman" w:cs="Times New Roman"/>
          <w:b/>
          <w:bCs/>
        </w:rPr>
        <w:t>Fig</w:t>
      </w:r>
      <w:r w:rsidR="00A44670" w:rsidRPr="00BD3935">
        <w:rPr>
          <w:rFonts w:ascii="Times New Roman" w:hAnsi="Times New Roman" w:cs="Times New Roman"/>
          <w:b/>
          <w:bCs/>
        </w:rPr>
        <w:t xml:space="preserve">ure </w:t>
      </w:r>
      <w:r w:rsidR="00382756" w:rsidRPr="00BD3935">
        <w:rPr>
          <w:rFonts w:ascii="Times New Roman" w:hAnsi="Times New Roman" w:cs="Times New Roman"/>
          <w:b/>
          <w:bCs/>
        </w:rPr>
        <w:t>4</w:t>
      </w:r>
      <w:r w:rsidR="00A44670" w:rsidRPr="00BD3935">
        <w:rPr>
          <w:rFonts w:ascii="Times New Roman" w:hAnsi="Times New Roman" w:cs="Times New Roman"/>
        </w:rPr>
        <w:t>.</w:t>
      </w:r>
      <w:r w:rsidRPr="00BD3935">
        <w:rPr>
          <w:rFonts w:ascii="Times New Roman" w:hAnsi="Times New Roman" w:cs="Times New Roman"/>
        </w:rPr>
        <w:t xml:space="preserve">  SOC stocks (Mg ha</w:t>
      </w:r>
      <w:r w:rsidRPr="00BD3935">
        <w:rPr>
          <w:rFonts w:ascii="Times New Roman" w:hAnsi="Times New Roman" w:cs="Times New Roman"/>
          <w:vertAlign w:val="superscript"/>
        </w:rPr>
        <w:t>-1</w:t>
      </w:r>
      <w:r w:rsidRPr="00BD3935">
        <w:rPr>
          <w:rFonts w:ascii="Times New Roman" w:hAnsi="Times New Roman" w:cs="Times New Roman"/>
        </w:rPr>
        <w:t>) in 2020</w:t>
      </w:r>
    </w:p>
    <w:p w14:paraId="19250EC3" w14:textId="77777777" w:rsidR="00B34C59" w:rsidRPr="00BD3935" w:rsidRDefault="00B34C59" w:rsidP="009F2407">
      <w:pPr>
        <w:spacing w:line="360" w:lineRule="auto"/>
        <w:jc w:val="both"/>
        <w:rPr>
          <w:rFonts w:ascii="Times New Roman" w:hAnsi="Times New Roman" w:cs="Times New Roman"/>
          <w:b/>
          <w:bCs/>
          <w:sz w:val="24"/>
          <w:szCs w:val="24"/>
        </w:rPr>
      </w:pPr>
    </w:p>
    <w:p w14:paraId="50596DE3" w14:textId="5409DB0B" w:rsidR="00A00C6E" w:rsidRPr="00BD3935" w:rsidRDefault="00A00C6E" w:rsidP="009F2407">
      <w:pPr>
        <w:spacing w:line="360" w:lineRule="auto"/>
        <w:jc w:val="both"/>
        <w:rPr>
          <w:rFonts w:ascii="Times New Roman" w:hAnsi="Times New Roman" w:cs="Times New Roman"/>
          <w:b/>
          <w:bCs/>
          <w:sz w:val="24"/>
          <w:szCs w:val="24"/>
        </w:rPr>
      </w:pPr>
      <w:r w:rsidRPr="00BD3935">
        <w:rPr>
          <w:rFonts w:ascii="Times New Roman" w:hAnsi="Times New Roman" w:cs="Times New Roman"/>
          <w:b/>
          <w:bCs/>
          <w:sz w:val="24"/>
          <w:szCs w:val="24"/>
        </w:rPr>
        <w:t>3.2. SOC stocks</w:t>
      </w:r>
    </w:p>
    <w:p w14:paraId="2A282A7F" w14:textId="449ACB8A" w:rsidR="00A00C6E" w:rsidRPr="00BD3935" w:rsidRDefault="00A00C6E" w:rsidP="0052330F">
      <w:pPr>
        <w:spacing w:line="360" w:lineRule="auto"/>
        <w:jc w:val="both"/>
        <w:rPr>
          <w:rFonts w:ascii="Times New Roman" w:hAnsi="Times New Roman" w:cs="Times New Roman"/>
          <w:sz w:val="24"/>
          <w:szCs w:val="24"/>
        </w:rPr>
      </w:pPr>
      <w:r w:rsidRPr="00BD3935">
        <w:rPr>
          <w:rFonts w:ascii="Times New Roman" w:hAnsi="Times New Roman" w:cs="Times New Roman"/>
          <w:sz w:val="24"/>
          <w:szCs w:val="24"/>
        </w:rPr>
        <w:t>The SOC stocks revealed high variability in area and in time during the study period (</w:t>
      </w:r>
      <w:r w:rsidRPr="00BD3935">
        <w:rPr>
          <w:rFonts w:ascii="Times New Roman" w:hAnsi="Times New Roman" w:cs="Times New Roman"/>
          <w:b/>
          <w:bCs/>
          <w:sz w:val="24"/>
          <w:szCs w:val="24"/>
        </w:rPr>
        <w:t>Figure 4 and 5</w:t>
      </w:r>
      <w:r w:rsidRPr="00BD3935">
        <w:rPr>
          <w:rFonts w:ascii="Times New Roman" w:hAnsi="Times New Roman" w:cs="Times New Roman"/>
          <w:sz w:val="24"/>
          <w:szCs w:val="24"/>
        </w:rPr>
        <w:t xml:space="preserve">). </w:t>
      </w:r>
      <w:r w:rsidR="00C2608B" w:rsidRPr="00BD3935">
        <w:rPr>
          <w:rFonts w:ascii="Times New Roman" w:hAnsi="Times New Roman" w:cs="Times New Roman"/>
          <w:sz w:val="24"/>
          <w:szCs w:val="24"/>
        </w:rPr>
        <w:t>For example</w:t>
      </w:r>
      <w:r w:rsidR="005A094B" w:rsidRPr="00BD3935">
        <w:rPr>
          <w:rFonts w:ascii="Times New Roman" w:hAnsi="Times New Roman" w:cs="Times New Roman"/>
          <w:sz w:val="24"/>
          <w:szCs w:val="24"/>
        </w:rPr>
        <w:t>,</w:t>
      </w:r>
      <w:r w:rsidR="00C2608B" w:rsidRPr="00BD3935">
        <w:rPr>
          <w:rFonts w:ascii="Times New Roman" w:hAnsi="Times New Roman" w:cs="Times New Roman"/>
          <w:sz w:val="24"/>
          <w:szCs w:val="24"/>
        </w:rPr>
        <w:t xml:space="preserve"> </w:t>
      </w:r>
      <w:bookmarkStart w:id="13" w:name="_Hlk161920125"/>
      <w:r w:rsidR="00C2608B" w:rsidRPr="00BD3935">
        <w:rPr>
          <w:rFonts w:ascii="Times New Roman" w:hAnsi="Times New Roman" w:cs="Times New Roman"/>
          <w:sz w:val="24"/>
          <w:szCs w:val="24"/>
        </w:rPr>
        <w:t>in 2020, the SOC stocks range between 0 to 147.34 Mg ha</w:t>
      </w:r>
      <w:r w:rsidR="00C2608B" w:rsidRPr="00BD3935">
        <w:rPr>
          <w:rFonts w:ascii="Times New Roman" w:hAnsi="Times New Roman" w:cs="Times New Roman"/>
          <w:sz w:val="24"/>
          <w:szCs w:val="24"/>
          <w:vertAlign w:val="superscript"/>
        </w:rPr>
        <w:t>-1</w:t>
      </w:r>
      <w:r w:rsidR="00C2608B" w:rsidRPr="00BD3935">
        <w:rPr>
          <w:rFonts w:ascii="Times New Roman" w:hAnsi="Times New Roman" w:cs="Times New Roman"/>
          <w:sz w:val="24"/>
          <w:szCs w:val="24"/>
        </w:rPr>
        <w:t>, whereas the estimated values in 2050 were substantially higher above the values for 2020</w:t>
      </w:r>
      <w:bookmarkEnd w:id="13"/>
      <w:r w:rsidR="00C2608B" w:rsidRPr="00BD3935">
        <w:rPr>
          <w:rFonts w:ascii="Times New Roman" w:hAnsi="Times New Roman" w:cs="Times New Roman"/>
          <w:sz w:val="24"/>
          <w:szCs w:val="24"/>
        </w:rPr>
        <w:t xml:space="preserve">. </w:t>
      </w:r>
      <w:r w:rsidR="005A094B" w:rsidRPr="00BD3935">
        <w:rPr>
          <w:rFonts w:ascii="Times New Roman" w:hAnsi="Times New Roman" w:cs="Times New Roman"/>
          <w:sz w:val="24"/>
          <w:szCs w:val="24"/>
        </w:rPr>
        <w:t xml:space="preserve">In terms of the spatial variability and distribution, the central areas of the State showed the highest SOC stocks when compared with either the </w:t>
      </w:r>
      <w:r w:rsidR="002D7888" w:rsidRPr="00BD3935">
        <w:rPr>
          <w:rFonts w:ascii="Times New Roman" w:hAnsi="Times New Roman" w:cs="Times New Roman"/>
          <w:sz w:val="24"/>
          <w:szCs w:val="24"/>
        </w:rPr>
        <w:t>N</w:t>
      </w:r>
      <w:r w:rsidR="005A094B" w:rsidRPr="00BD3935">
        <w:rPr>
          <w:rFonts w:ascii="Times New Roman" w:hAnsi="Times New Roman" w:cs="Times New Roman"/>
          <w:sz w:val="24"/>
          <w:szCs w:val="24"/>
        </w:rPr>
        <w:t xml:space="preserve">ortheast or </w:t>
      </w:r>
      <w:r w:rsidR="002D7888" w:rsidRPr="00BD3935">
        <w:rPr>
          <w:rFonts w:ascii="Times New Roman" w:hAnsi="Times New Roman" w:cs="Times New Roman"/>
          <w:sz w:val="24"/>
          <w:szCs w:val="24"/>
        </w:rPr>
        <w:t>S</w:t>
      </w:r>
      <w:r w:rsidR="005A094B" w:rsidRPr="00BD3935">
        <w:rPr>
          <w:rFonts w:ascii="Times New Roman" w:hAnsi="Times New Roman" w:cs="Times New Roman"/>
          <w:sz w:val="24"/>
          <w:szCs w:val="24"/>
        </w:rPr>
        <w:t xml:space="preserve">outhern part.  </w:t>
      </w:r>
      <w:r w:rsidR="002E40C1" w:rsidRPr="00BD3935">
        <w:rPr>
          <w:rFonts w:ascii="Times New Roman" w:hAnsi="Times New Roman" w:cs="Times New Roman"/>
          <w:sz w:val="24"/>
          <w:szCs w:val="24"/>
        </w:rPr>
        <w:t xml:space="preserve">According to Teodoro et al. (2024) and da Silva Souza et al. (2024), </w:t>
      </w:r>
      <w:r w:rsidR="005A094B" w:rsidRPr="00BD3935">
        <w:rPr>
          <w:rFonts w:ascii="Times New Roman" w:hAnsi="Times New Roman" w:cs="Times New Roman"/>
          <w:sz w:val="24"/>
          <w:szCs w:val="24"/>
        </w:rPr>
        <w:t xml:space="preserve"> spatio-temporal dynamics in SOC stocks could be attributed to many factors including </w:t>
      </w:r>
      <w:r w:rsidR="002E40C1" w:rsidRPr="00BD3935">
        <w:rPr>
          <w:rFonts w:ascii="Times New Roman" w:hAnsi="Times New Roman" w:cs="Times New Roman"/>
          <w:sz w:val="24"/>
          <w:szCs w:val="24"/>
        </w:rPr>
        <w:t xml:space="preserve">(i) </w:t>
      </w:r>
      <w:r w:rsidR="005A094B" w:rsidRPr="00BD3935">
        <w:rPr>
          <w:rFonts w:ascii="Times New Roman" w:hAnsi="Times New Roman" w:cs="Times New Roman"/>
          <w:sz w:val="24"/>
          <w:szCs w:val="24"/>
        </w:rPr>
        <w:t xml:space="preserve">land use and its changes, </w:t>
      </w:r>
      <w:r w:rsidR="002E40C1" w:rsidRPr="00BD3935">
        <w:rPr>
          <w:rFonts w:ascii="Times New Roman" w:hAnsi="Times New Roman" w:cs="Times New Roman"/>
          <w:sz w:val="24"/>
          <w:szCs w:val="24"/>
        </w:rPr>
        <w:t xml:space="preserve">(ii) </w:t>
      </w:r>
      <w:r w:rsidR="005A094B" w:rsidRPr="00BD3935">
        <w:rPr>
          <w:rFonts w:ascii="Times New Roman" w:hAnsi="Times New Roman" w:cs="Times New Roman"/>
          <w:sz w:val="24"/>
          <w:szCs w:val="24"/>
        </w:rPr>
        <w:t xml:space="preserve">anthropogenic activities and agricultural intensifications and management systems, </w:t>
      </w:r>
      <w:r w:rsidR="002E40C1" w:rsidRPr="00BD3935">
        <w:rPr>
          <w:rFonts w:ascii="Times New Roman" w:hAnsi="Times New Roman" w:cs="Times New Roman"/>
          <w:sz w:val="24"/>
          <w:szCs w:val="24"/>
        </w:rPr>
        <w:t xml:space="preserve">(iii) </w:t>
      </w:r>
      <w:r w:rsidR="0049749F" w:rsidRPr="00BD3935">
        <w:rPr>
          <w:rFonts w:ascii="Times New Roman" w:hAnsi="Times New Roman" w:cs="Times New Roman"/>
          <w:sz w:val="24"/>
          <w:szCs w:val="24"/>
        </w:rPr>
        <w:t xml:space="preserve">environmental drivers </w:t>
      </w:r>
      <w:r w:rsidR="005A094B" w:rsidRPr="00BD3935">
        <w:rPr>
          <w:rFonts w:ascii="Times New Roman" w:hAnsi="Times New Roman" w:cs="Times New Roman"/>
          <w:sz w:val="24"/>
          <w:szCs w:val="24"/>
        </w:rPr>
        <w:t>(</w:t>
      </w:r>
      <w:r w:rsidR="00256E7F" w:rsidRPr="00BD3935">
        <w:rPr>
          <w:rFonts w:ascii="Times New Roman" w:hAnsi="Times New Roman" w:cs="Times New Roman"/>
          <w:sz w:val="24"/>
          <w:szCs w:val="24"/>
        </w:rPr>
        <w:t xml:space="preserve">e.g., climate </w:t>
      </w:r>
      <w:r w:rsidR="00EB28CB" w:rsidRPr="00BD3935">
        <w:rPr>
          <w:rFonts w:ascii="Times New Roman" w:hAnsi="Times New Roman" w:cs="Times New Roman"/>
          <w:sz w:val="24"/>
          <w:szCs w:val="24"/>
        </w:rPr>
        <w:t xml:space="preserve">vegetation </w:t>
      </w:r>
      <w:r w:rsidR="00256E7F" w:rsidRPr="00BD3935">
        <w:rPr>
          <w:rFonts w:ascii="Times New Roman" w:hAnsi="Times New Roman" w:cs="Times New Roman"/>
          <w:sz w:val="24"/>
          <w:szCs w:val="24"/>
        </w:rPr>
        <w:t>and elevation</w:t>
      </w:r>
      <w:r w:rsidR="005A094B" w:rsidRPr="00BD3935">
        <w:rPr>
          <w:rFonts w:ascii="Times New Roman" w:hAnsi="Times New Roman" w:cs="Times New Roman"/>
          <w:sz w:val="24"/>
          <w:szCs w:val="24"/>
        </w:rPr>
        <w:t>)</w:t>
      </w:r>
      <w:r w:rsidR="00256E7F" w:rsidRPr="00BD3935">
        <w:rPr>
          <w:rFonts w:ascii="Times New Roman" w:hAnsi="Times New Roman" w:cs="Times New Roman"/>
          <w:sz w:val="24"/>
          <w:szCs w:val="24"/>
        </w:rPr>
        <w:t>, a</w:t>
      </w:r>
      <w:r w:rsidR="00EB28CB" w:rsidRPr="00BD3935">
        <w:rPr>
          <w:rFonts w:ascii="Times New Roman" w:hAnsi="Times New Roman" w:cs="Times New Roman"/>
          <w:sz w:val="24"/>
          <w:szCs w:val="24"/>
        </w:rPr>
        <w:t>s well as</w:t>
      </w:r>
      <w:r w:rsidR="00256E7F" w:rsidRPr="00BD3935">
        <w:rPr>
          <w:rFonts w:ascii="Times New Roman" w:hAnsi="Times New Roman" w:cs="Times New Roman"/>
          <w:sz w:val="24"/>
          <w:szCs w:val="24"/>
        </w:rPr>
        <w:t xml:space="preserve"> </w:t>
      </w:r>
      <w:r w:rsidR="002E40C1" w:rsidRPr="00BD3935">
        <w:rPr>
          <w:rFonts w:ascii="Times New Roman" w:hAnsi="Times New Roman" w:cs="Times New Roman"/>
          <w:sz w:val="24"/>
          <w:szCs w:val="24"/>
        </w:rPr>
        <w:t xml:space="preserve">(iv) </w:t>
      </w:r>
      <w:r w:rsidR="00256E7F" w:rsidRPr="00BD3935">
        <w:rPr>
          <w:rFonts w:ascii="Times New Roman" w:hAnsi="Times New Roman" w:cs="Times New Roman"/>
          <w:sz w:val="24"/>
          <w:szCs w:val="24"/>
        </w:rPr>
        <w:t>climate-smart farming policies</w:t>
      </w:r>
      <w:r w:rsidR="002E40C1" w:rsidRPr="00BD3935">
        <w:rPr>
          <w:rFonts w:ascii="Times New Roman" w:hAnsi="Times New Roman" w:cs="Times New Roman"/>
          <w:sz w:val="24"/>
          <w:szCs w:val="24"/>
        </w:rPr>
        <w:t>.</w:t>
      </w:r>
      <w:r w:rsidR="00256E7F" w:rsidRPr="00BD3935">
        <w:rPr>
          <w:rFonts w:ascii="Times New Roman" w:hAnsi="Times New Roman" w:cs="Times New Roman"/>
          <w:sz w:val="24"/>
          <w:szCs w:val="24"/>
        </w:rPr>
        <w:t xml:space="preserve"> </w:t>
      </w:r>
      <w:r w:rsidR="00D37BFF" w:rsidRPr="00BD3935">
        <w:rPr>
          <w:rFonts w:ascii="Times New Roman" w:hAnsi="Times New Roman" w:cs="Times New Roman"/>
          <w:sz w:val="24"/>
          <w:szCs w:val="24"/>
        </w:rPr>
        <w:t xml:space="preserve">The adoption of good agricultural land use management will be of great benefit for both economic and ecological sectors. For example, previous studies in the region have established that a 1% increase in land productivity led to a </w:t>
      </w:r>
      <w:r w:rsidR="00D37BFF" w:rsidRPr="00BD3935">
        <w:rPr>
          <w:rFonts w:ascii="Times New Roman" w:hAnsi="Times New Roman" w:cs="Times New Roman"/>
          <w:sz w:val="24"/>
          <w:szCs w:val="24"/>
        </w:rPr>
        <w:lastRenderedPageBreak/>
        <w:t>0.0043% reduction in GHG emissions for all Brazilian regions (Gianetti et al. 2024; Silva et al. 2016)</w:t>
      </w:r>
      <w:r w:rsidR="002D7888" w:rsidRPr="00BD3935">
        <w:rPr>
          <w:rFonts w:ascii="Times New Roman" w:hAnsi="Times New Roman" w:cs="Times New Roman"/>
          <w:sz w:val="24"/>
          <w:szCs w:val="24"/>
        </w:rPr>
        <w:t xml:space="preserve">. The low SOC stocks observed in the Northeastern part could be attributed to the fact that </w:t>
      </w:r>
      <w:r w:rsidR="00C905B4" w:rsidRPr="00BD3935">
        <w:rPr>
          <w:rFonts w:ascii="Times New Roman" w:hAnsi="Times New Roman" w:cs="Times New Roman"/>
          <w:sz w:val="24"/>
          <w:szCs w:val="24"/>
        </w:rPr>
        <w:t xml:space="preserve">though </w:t>
      </w:r>
      <w:r w:rsidR="002D7888" w:rsidRPr="00BD3935">
        <w:rPr>
          <w:rFonts w:ascii="Times New Roman" w:hAnsi="Times New Roman" w:cs="Times New Roman"/>
          <w:sz w:val="24"/>
          <w:szCs w:val="24"/>
        </w:rPr>
        <w:t xml:space="preserve">this region has the largest shrub but is </w:t>
      </w:r>
      <w:r w:rsidR="00C905B4" w:rsidRPr="00BD3935">
        <w:rPr>
          <w:rFonts w:ascii="Times New Roman" w:hAnsi="Times New Roman" w:cs="Times New Roman"/>
          <w:sz w:val="24"/>
          <w:szCs w:val="24"/>
        </w:rPr>
        <w:t>predominated by</w:t>
      </w:r>
      <w:r w:rsidR="002D7888" w:rsidRPr="00BD3935">
        <w:rPr>
          <w:rFonts w:ascii="Times New Roman" w:hAnsi="Times New Roman" w:cs="Times New Roman"/>
          <w:sz w:val="24"/>
          <w:szCs w:val="24"/>
        </w:rPr>
        <w:t xml:space="preserve"> Caatinga vegetation</w:t>
      </w:r>
      <w:r w:rsidR="0036732A" w:rsidRPr="00BD3935">
        <w:rPr>
          <w:rFonts w:ascii="Times New Roman" w:hAnsi="Times New Roman" w:cs="Times New Roman"/>
          <w:sz w:val="24"/>
          <w:szCs w:val="24"/>
        </w:rPr>
        <w:t xml:space="preserve"> characterized by low rainfall</w:t>
      </w:r>
      <w:r w:rsidR="002D7888" w:rsidRPr="00BD3935">
        <w:rPr>
          <w:rFonts w:ascii="Times New Roman" w:hAnsi="Times New Roman" w:cs="Times New Roman"/>
          <w:sz w:val="24"/>
          <w:szCs w:val="24"/>
        </w:rPr>
        <w:t xml:space="preserve"> where the </w:t>
      </w:r>
      <w:r w:rsidR="00C905B4" w:rsidRPr="00BD3935">
        <w:rPr>
          <w:rFonts w:ascii="Times New Roman" w:hAnsi="Times New Roman" w:cs="Times New Roman"/>
          <w:sz w:val="24"/>
          <w:szCs w:val="24"/>
        </w:rPr>
        <w:t xml:space="preserve">SOC </w:t>
      </w:r>
      <w:r w:rsidR="002D7888" w:rsidRPr="00BD3935">
        <w:rPr>
          <w:rFonts w:ascii="Times New Roman" w:hAnsi="Times New Roman" w:cs="Times New Roman"/>
          <w:sz w:val="24"/>
          <w:szCs w:val="24"/>
        </w:rPr>
        <w:t xml:space="preserve">stock </w:t>
      </w:r>
      <w:r w:rsidR="00C905B4" w:rsidRPr="00BD3935">
        <w:rPr>
          <w:rFonts w:ascii="Times New Roman" w:hAnsi="Times New Roman" w:cs="Times New Roman"/>
          <w:sz w:val="24"/>
          <w:szCs w:val="24"/>
        </w:rPr>
        <w:t>is</w:t>
      </w:r>
      <w:r w:rsidR="002D7888" w:rsidRPr="00BD3935">
        <w:rPr>
          <w:rFonts w:ascii="Times New Roman" w:hAnsi="Times New Roman" w:cs="Times New Roman"/>
          <w:sz w:val="24"/>
          <w:szCs w:val="24"/>
        </w:rPr>
        <w:t xml:space="preserve"> </w:t>
      </w:r>
      <w:r w:rsidR="00C905B4" w:rsidRPr="00BD3935">
        <w:rPr>
          <w:rFonts w:ascii="Times New Roman" w:hAnsi="Times New Roman" w:cs="Times New Roman"/>
          <w:sz w:val="24"/>
          <w:szCs w:val="24"/>
        </w:rPr>
        <w:t xml:space="preserve">approximately </w:t>
      </w:r>
      <w:r w:rsidR="002D7888" w:rsidRPr="00BD3935">
        <w:rPr>
          <w:rFonts w:ascii="Times New Roman" w:hAnsi="Times New Roman" w:cs="Times New Roman"/>
          <w:sz w:val="24"/>
          <w:szCs w:val="24"/>
        </w:rPr>
        <w:t xml:space="preserve">half </w:t>
      </w:r>
      <w:r w:rsidR="00C905B4" w:rsidRPr="00BD3935">
        <w:rPr>
          <w:rFonts w:ascii="Times New Roman" w:hAnsi="Times New Roman" w:cs="Times New Roman"/>
          <w:sz w:val="24"/>
          <w:szCs w:val="24"/>
        </w:rPr>
        <w:t>of the stocks obtainable</w:t>
      </w:r>
      <w:r w:rsidR="002D7888" w:rsidRPr="00BD3935">
        <w:rPr>
          <w:rFonts w:ascii="Times New Roman" w:hAnsi="Times New Roman" w:cs="Times New Roman"/>
          <w:sz w:val="24"/>
          <w:szCs w:val="24"/>
        </w:rPr>
        <w:t xml:space="preserve"> in the Atlantic Forest soils</w:t>
      </w:r>
      <w:r w:rsidR="00C905B4" w:rsidRPr="00BD3935">
        <w:rPr>
          <w:rFonts w:ascii="Times New Roman" w:hAnsi="Times New Roman" w:cs="Times New Roman"/>
          <w:sz w:val="24"/>
          <w:szCs w:val="24"/>
        </w:rPr>
        <w:t>, and far below stocks in the Cerrando soils (</w:t>
      </w:r>
      <w:r w:rsidR="003910C6" w:rsidRPr="00BD3935">
        <w:rPr>
          <w:rFonts w:ascii="Times New Roman" w:hAnsi="Times New Roman" w:cs="Times New Roman"/>
          <w:sz w:val="24"/>
          <w:szCs w:val="24"/>
        </w:rPr>
        <w:t>Parras et al. 2024</w:t>
      </w:r>
      <w:r w:rsidR="00C905B4" w:rsidRPr="00BD3935">
        <w:rPr>
          <w:rFonts w:ascii="Times New Roman" w:hAnsi="Times New Roman" w:cs="Times New Roman"/>
          <w:sz w:val="24"/>
          <w:szCs w:val="24"/>
        </w:rPr>
        <w:t>)</w:t>
      </w:r>
      <w:r w:rsidR="002D7888" w:rsidRPr="00BD3935">
        <w:rPr>
          <w:rFonts w:ascii="Times New Roman" w:hAnsi="Times New Roman" w:cs="Times New Roman"/>
          <w:sz w:val="24"/>
          <w:szCs w:val="24"/>
        </w:rPr>
        <w:t>.</w:t>
      </w:r>
      <w:r w:rsidR="0052330F" w:rsidRPr="00BD3935">
        <w:rPr>
          <w:rFonts w:ascii="Times New Roman" w:hAnsi="Times New Roman" w:cs="Times New Roman"/>
          <w:sz w:val="24"/>
          <w:szCs w:val="24"/>
        </w:rPr>
        <w:t xml:space="preserve"> The prospects of croplands and the Cerrado biome to sequestrate excess CO</w:t>
      </w:r>
      <w:r w:rsidR="0052330F" w:rsidRPr="00BD3935">
        <w:rPr>
          <w:rFonts w:ascii="Times New Roman" w:hAnsi="Times New Roman" w:cs="Times New Roman"/>
          <w:sz w:val="24"/>
          <w:szCs w:val="24"/>
          <w:vertAlign w:val="subscript"/>
        </w:rPr>
        <w:t>2</w:t>
      </w:r>
      <w:r w:rsidR="0052330F" w:rsidRPr="00BD3935">
        <w:rPr>
          <w:rFonts w:ascii="Times New Roman" w:hAnsi="Times New Roman" w:cs="Times New Roman"/>
          <w:sz w:val="24"/>
          <w:szCs w:val="24"/>
        </w:rPr>
        <w:t xml:space="preserve"> </w:t>
      </w:r>
      <w:r w:rsidR="00321B4F" w:rsidRPr="00BD3935">
        <w:rPr>
          <w:rFonts w:ascii="Times New Roman" w:hAnsi="Times New Roman" w:cs="Times New Roman"/>
          <w:sz w:val="24"/>
          <w:szCs w:val="24"/>
        </w:rPr>
        <w:t>have</w:t>
      </w:r>
      <w:r w:rsidR="0052330F" w:rsidRPr="00BD3935">
        <w:rPr>
          <w:rFonts w:ascii="Times New Roman" w:hAnsi="Times New Roman" w:cs="Times New Roman"/>
          <w:sz w:val="24"/>
          <w:szCs w:val="24"/>
        </w:rPr>
        <w:t xml:space="preserve"> been established in previous studies. According to Toloi et al. (2024) the Cerrado biome’s sequestration potential (3.99E + 07 tons of CO</w:t>
      </w:r>
      <w:r w:rsidR="0052330F" w:rsidRPr="00BD3935">
        <w:rPr>
          <w:rFonts w:ascii="Times New Roman" w:hAnsi="Times New Roman" w:cs="Times New Roman"/>
          <w:sz w:val="24"/>
          <w:szCs w:val="24"/>
          <w:vertAlign w:val="subscript"/>
        </w:rPr>
        <w:t>2</w:t>
      </w:r>
      <w:r w:rsidR="0052330F" w:rsidRPr="00BD3935">
        <w:rPr>
          <w:rFonts w:ascii="Times New Roman" w:hAnsi="Times New Roman" w:cs="Times New Roman"/>
          <w:sz w:val="24"/>
          <w:szCs w:val="24"/>
        </w:rPr>
        <w:t>eq) is four times higher than its actual emissions, and this neutralizes the impact caused by CO</w:t>
      </w:r>
      <w:r w:rsidR="0052330F" w:rsidRPr="00BD3935">
        <w:rPr>
          <w:rFonts w:ascii="Times New Roman" w:hAnsi="Times New Roman" w:cs="Times New Roman"/>
          <w:sz w:val="24"/>
          <w:szCs w:val="24"/>
          <w:vertAlign w:val="subscript"/>
        </w:rPr>
        <w:t>2</w:t>
      </w:r>
      <w:r w:rsidR="0052330F" w:rsidRPr="00BD3935">
        <w:rPr>
          <w:rFonts w:ascii="Times New Roman" w:hAnsi="Times New Roman" w:cs="Times New Roman"/>
          <w:sz w:val="24"/>
          <w:szCs w:val="24"/>
        </w:rPr>
        <w:t xml:space="preserve"> emissions.</w:t>
      </w:r>
    </w:p>
    <w:p w14:paraId="2E97E03F" w14:textId="77777777" w:rsidR="005439A3" w:rsidRPr="00BD3935" w:rsidRDefault="005439A3" w:rsidP="005439A3">
      <w:r w:rsidRPr="00BD3935">
        <w:rPr>
          <w:noProof/>
        </w:rPr>
        <w:drawing>
          <wp:inline distT="0" distB="0" distL="0" distR="0" wp14:anchorId="54EBBB21" wp14:editId="7276D353">
            <wp:extent cx="5943600" cy="4102100"/>
            <wp:effectExtent l="0" t="0" r="0" b="0"/>
            <wp:docPr id="1405389946" name="Picture 1" descr="A map of the state of south af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9946" name="Picture 1" descr="A map of the state of south africa&#10;&#10;Description automatically generated"/>
                    <pic:cNvPicPr/>
                  </pic:nvPicPr>
                  <pic:blipFill>
                    <a:blip r:embed="rId9"/>
                    <a:stretch>
                      <a:fillRect/>
                    </a:stretch>
                  </pic:blipFill>
                  <pic:spPr>
                    <a:xfrm>
                      <a:off x="0" y="0"/>
                      <a:ext cx="5943600" cy="4102100"/>
                    </a:xfrm>
                    <a:prstGeom prst="rect">
                      <a:avLst/>
                    </a:prstGeom>
                  </pic:spPr>
                </pic:pic>
              </a:graphicData>
            </a:graphic>
          </wp:inline>
        </w:drawing>
      </w:r>
    </w:p>
    <w:p w14:paraId="1382A290" w14:textId="017F7BDF" w:rsidR="005439A3" w:rsidRPr="00BD3935" w:rsidRDefault="005439A3" w:rsidP="005439A3">
      <w:pPr>
        <w:rPr>
          <w:rFonts w:ascii="Times New Roman" w:hAnsi="Times New Roman" w:cs="Times New Roman"/>
        </w:rPr>
      </w:pPr>
      <w:r w:rsidRPr="00BD3935">
        <w:rPr>
          <w:rFonts w:ascii="Times New Roman" w:hAnsi="Times New Roman" w:cs="Times New Roman"/>
          <w:b/>
          <w:bCs/>
        </w:rPr>
        <w:t>Fig</w:t>
      </w:r>
      <w:r w:rsidR="00A44670" w:rsidRPr="00BD3935">
        <w:rPr>
          <w:rFonts w:ascii="Times New Roman" w:hAnsi="Times New Roman" w:cs="Times New Roman"/>
          <w:b/>
          <w:bCs/>
        </w:rPr>
        <w:t xml:space="preserve">ure </w:t>
      </w:r>
      <w:r w:rsidR="00382756" w:rsidRPr="00BD3935">
        <w:rPr>
          <w:rFonts w:ascii="Times New Roman" w:hAnsi="Times New Roman" w:cs="Times New Roman"/>
          <w:b/>
          <w:bCs/>
        </w:rPr>
        <w:t>5</w:t>
      </w:r>
      <w:r w:rsidRPr="00BD3935">
        <w:rPr>
          <w:rFonts w:ascii="Times New Roman" w:hAnsi="Times New Roman" w:cs="Times New Roman"/>
        </w:rPr>
        <w:t>.  predicted SOC stocks (Mg ha</w:t>
      </w:r>
      <w:r w:rsidRPr="00BD3935">
        <w:rPr>
          <w:rFonts w:ascii="Times New Roman" w:hAnsi="Times New Roman" w:cs="Times New Roman"/>
          <w:vertAlign w:val="superscript"/>
        </w:rPr>
        <w:t>-1</w:t>
      </w:r>
      <w:r w:rsidRPr="00BD3935">
        <w:rPr>
          <w:rFonts w:ascii="Times New Roman" w:hAnsi="Times New Roman" w:cs="Times New Roman"/>
        </w:rPr>
        <w:t>) for 2050</w:t>
      </w:r>
    </w:p>
    <w:p w14:paraId="11674603" w14:textId="77777777" w:rsidR="00AD423B" w:rsidRPr="00BD3935" w:rsidRDefault="00AD423B"/>
    <w:p w14:paraId="358522F3" w14:textId="77777777" w:rsidR="006B2114" w:rsidRPr="00BD3935" w:rsidRDefault="006B2114"/>
    <w:p w14:paraId="3A5635D5" w14:textId="60BE0AD1" w:rsidR="00A44670" w:rsidRPr="00BD3935" w:rsidRDefault="00A44670" w:rsidP="00A44670">
      <w:pPr>
        <w:spacing w:line="360" w:lineRule="auto"/>
        <w:jc w:val="both"/>
        <w:rPr>
          <w:rFonts w:ascii="Times New Roman" w:eastAsia="Calibri" w:hAnsi="Times New Roman" w:cs="Times New Roman"/>
          <w:kern w:val="0"/>
          <w:sz w:val="24"/>
          <w14:ligatures w14:val="none"/>
        </w:rPr>
      </w:pPr>
    </w:p>
    <w:p w14:paraId="28EE5739" w14:textId="78D3645C" w:rsidR="00BD68DE" w:rsidRPr="00BD3935" w:rsidRDefault="00BD68DE" w:rsidP="00A44670">
      <w:pPr>
        <w:spacing w:line="360" w:lineRule="auto"/>
        <w:jc w:val="both"/>
        <w:rPr>
          <w:rFonts w:ascii="Times New Roman" w:eastAsia="Calibri" w:hAnsi="Times New Roman" w:cs="Times New Roman"/>
          <w:kern w:val="0"/>
          <w:sz w:val="24"/>
          <w14:ligatures w14:val="none"/>
        </w:rPr>
      </w:pPr>
    </w:p>
    <w:p w14:paraId="16A88498" w14:textId="77777777" w:rsidR="00BD68DE" w:rsidRPr="00BD3935" w:rsidRDefault="00BD68DE" w:rsidP="00A44670">
      <w:pPr>
        <w:spacing w:line="360" w:lineRule="auto"/>
        <w:jc w:val="both"/>
        <w:rPr>
          <w:rFonts w:ascii="Times New Roman" w:eastAsia="Calibri" w:hAnsi="Times New Roman" w:cs="Times New Roman"/>
          <w:kern w:val="0"/>
          <w:sz w:val="24"/>
          <w14:ligatures w14:val="none"/>
        </w:rPr>
      </w:pPr>
    </w:p>
    <w:p w14:paraId="67B26D33" w14:textId="0B3A5DA2" w:rsidR="00BD68DE" w:rsidRPr="00BD3935" w:rsidRDefault="00BD68DE" w:rsidP="00A44670">
      <w:pPr>
        <w:spacing w:line="360" w:lineRule="auto"/>
        <w:jc w:val="both"/>
        <w:rPr>
          <w:rFonts w:ascii="Times New Roman" w:eastAsia="Calibri" w:hAnsi="Times New Roman" w:cs="Times New Roman"/>
          <w:kern w:val="0"/>
          <w:sz w:val="16"/>
          <w:szCs w:val="16"/>
          <w14:ligatures w14:val="none"/>
        </w:rPr>
      </w:pPr>
      <w:bookmarkStart w:id="14" w:name="_Hlk161832015"/>
    </w:p>
    <w:bookmarkEnd w:id="14"/>
    <w:p w14:paraId="768ECEC6" w14:textId="4E037B2B" w:rsidR="00BD68DE" w:rsidRPr="00BD3935" w:rsidRDefault="00BD68DE" w:rsidP="00A44670">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noProof/>
          <w:kern w:val="0"/>
          <w:sz w:val="24"/>
          <w14:ligatures w14:val="none"/>
        </w:rPr>
        <w:drawing>
          <wp:inline distT="0" distB="0" distL="0" distR="0" wp14:anchorId="7698F25D" wp14:editId="6496E081">
            <wp:extent cx="5449060" cy="2600688"/>
            <wp:effectExtent l="0" t="0" r="0" b="9525"/>
            <wp:docPr id="8779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4863" name=""/>
                    <pic:cNvPicPr/>
                  </pic:nvPicPr>
                  <pic:blipFill>
                    <a:blip r:embed="rId10"/>
                    <a:stretch>
                      <a:fillRect/>
                    </a:stretch>
                  </pic:blipFill>
                  <pic:spPr>
                    <a:xfrm>
                      <a:off x="0" y="0"/>
                      <a:ext cx="5449060" cy="2600688"/>
                    </a:xfrm>
                    <a:prstGeom prst="rect">
                      <a:avLst/>
                    </a:prstGeom>
                  </pic:spPr>
                </pic:pic>
              </a:graphicData>
            </a:graphic>
          </wp:inline>
        </w:drawing>
      </w:r>
    </w:p>
    <w:p w14:paraId="185BED32" w14:textId="62692F86" w:rsidR="00A44670" w:rsidRPr="00BD3935" w:rsidRDefault="00A44670" w:rsidP="00A44670">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b/>
          <w:bCs/>
          <w:kern w:val="0"/>
          <w:sz w:val="24"/>
          <w14:ligatures w14:val="none"/>
        </w:rPr>
        <w:t xml:space="preserve">Figure </w:t>
      </w:r>
      <w:r w:rsidR="00382756" w:rsidRPr="00BD3935">
        <w:rPr>
          <w:rFonts w:ascii="Times New Roman" w:eastAsia="Calibri" w:hAnsi="Times New Roman" w:cs="Times New Roman"/>
          <w:b/>
          <w:bCs/>
          <w:kern w:val="0"/>
          <w:sz w:val="24"/>
          <w14:ligatures w14:val="none"/>
        </w:rPr>
        <w:t>6</w:t>
      </w:r>
      <w:r w:rsidRPr="00BD3935">
        <w:rPr>
          <w:rFonts w:ascii="Times New Roman" w:eastAsia="Calibri" w:hAnsi="Times New Roman" w:cs="Times New Roman"/>
          <w:kern w:val="0"/>
          <w:sz w:val="24"/>
          <w14:ligatures w14:val="none"/>
        </w:rPr>
        <w:t xml:space="preserve">. </w:t>
      </w:r>
      <w:r w:rsidR="00114BC5" w:rsidRPr="00BD3935">
        <w:rPr>
          <w:rFonts w:ascii="Times New Roman" w:eastAsia="Calibri" w:hAnsi="Times New Roman" w:cs="Times New Roman"/>
          <w:kern w:val="0"/>
          <w:sz w:val="24"/>
          <w14:ligatures w14:val="none"/>
        </w:rPr>
        <w:t xml:space="preserve">Summary of the correlation between SOC </w:t>
      </w:r>
      <w:r w:rsidR="00E13EF2" w:rsidRPr="00BD3935">
        <w:rPr>
          <w:rFonts w:ascii="Times New Roman" w:eastAsia="Calibri" w:hAnsi="Times New Roman" w:cs="Times New Roman"/>
          <w:kern w:val="0"/>
          <w:sz w:val="24"/>
          <w14:ligatures w14:val="none"/>
        </w:rPr>
        <w:t xml:space="preserve">stocks </w:t>
      </w:r>
      <w:r w:rsidR="00114BC5" w:rsidRPr="00BD3935">
        <w:rPr>
          <w:rFonts w:ascii="Times New Roman" w:eastAsia="Calibri" w:hAnsi="Times New Roman" w:cs="Times New Roman"/>
          <w:kern w:val="0"/>
          <w:sz w:val="24"/>
          <w14:ligatures w14:val="none"/>
        </w:rPr>
        <w:t>and other environmental drivers</w:t>
      </w:r>
    </w:p>
    <w:p w14:paraId="65619AFD" w14:textId="77777777" w:rsidR="00B34C59" w:rsidRPr="00BD3935" w:rsidRDefault="00A44670" w:rsidP="005E516A">
      <w:pPr>
        <w:spacing w:line="360" w:lineRule="auto"/>
        <w:jc w:val="both"/>
        <w:rPr>
          <w:rFonts w:ascii="Times New Roman" w:eastAsia="Calibri" w:hAnsi="Times New Roman" w:cs="Times New Roman"/>
          <w:b/>
          <w:bCs/>
          <w:i/>
          <w:iCs/>
          <w:kern w:val="0"/>
          <w:sz w:val="24"/>
          <w14:ligatures w14:val="none"/>
        </w:rPr>
      </w:pPr>
      <w:r w:rsidRPr="00BD3935">
        <w:rPr>
          <w:rFonts w:ascii="Times New Roman" w:eastAsia="Calibri" w:hAnsi="Times New Roman" w:cs="Times New Roman"/>
          <w:b/>
          <w:bCs/>
          <w:i/>
          <w:iCs/>
          <w:kern w:val="0"/>
          <w:sz w:val="24"/>
          <w14:ligatures w14:val="none"/>
        </w:rPr>
        <w:t xml:space="preserve">  </w:t>
      </w:r>
    </w:p>
    <w:p w14:paraId="067DE165" w14:textId="6BD4FFAE" w:rsidR="00B34C59" w:rsidRPr="00BD3935" w:rsidRDefault="00B34C59" w:rsidP="005E516A">
      <w:pPr>
        <w:spacing w:line="360" w:lineRule="auto"/>
        <w:jc w:val="both"/>
        <w:rPr>
          <w:rFonts w:ascii="Times New Roman" w:eastAsia="Calibri" w:hAnsi="Times New Roman" w:cs="Times New Roman"/>
          <w:b/>
          <w:bCs/>
          <w:i/>
          <w:iCs/>
          <w:kern w:val="0"/>
          <w:sz w:val="24"/>
          <w14:ligatures w14:val="none"/>
        </w:rPr>
      </w:pPr>
      <w:r w:rsidRPr="00BD3935">
        <w:rPr>
          <w:rFonts w:ascii="Times New Roman" w:eastAsia="Calibri" w:hAnsi="Times New Roman" w:cs="Times New Roman"/>
          <w:b/>
          <w:bCs/>
          <w:i/>
          <w:iCs/>
          <w:kern w:val="0"/>
          <w:sz w:val="24"/>
          <w14:ligatures w14:val="none"/>
        </w:rPr>
        <w:t>3.3. SOC stocks, land use and other environmental drivers</w:t>
      </w:r>
    </w:p>
    <w:p w14:paraId="64F45BC2" w14:textId="3141C9A1" w:rsidR="00A44670" w:rsidRPr="00BD3935" w:rsidRDefault="005E516A" w:rsidP="00F92214">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 xml:space="preserve">The correlation </w:t>
      </w:r>
      <w:r w:rsidR="00382756" w:rsidRPr="00BD3935">
        <w:rPr>
          <w:rFonts w:ascii="Times New Roman" w:eastAsia="Calibri" w:hAnsi="Times New Roman" w:cs="Times New Roman"/>
          <w:kern w:val="0"/>
          <w:sz w:val="24"/>
          <w14:ligatures w14:val="none"/>
        </w:rPr>
        <w:t>result</w:t>
      </w:r>
      <w:r w:rsidRPr="00BD3935">
        <w:rPr>
          <w:rFonts w:ascii="Times New Roman" w:eastAsia="Calibri" w:hAnsi="Times New Roman" w:cs="Times New Roman"/>
          <w:kern w:val="0"/>
          <w:sz w:val="24"/>
          <w14:ligatures w14:val="none"/>
        </w:rPr>
        <w:t xml:space="preserve"> reveals notable </w:t>
      </w:r>
      <w:r w:rsidR="00382756" w:rsidRPr="00BD3935">
        <w:rPr>
          <w:rFonts w:ascii="Times New Roman" w:eastAsia="Calibri" w:hAnsi="Times New Roman" w:cs="Times New Roman"/>
          <w:kern w:val="0"/>
          <w:sz w:val="24"/>
          <w14:ligatures w14:val="none"/>
        </w:rPr>
        <w:t>interrelationships between the drivers of SOC stocks (</w:t>
      </w:r>
      <w:r w:rsidR="00382756" w:rsidRPr="00BD3935">
        <w:rPr>
          <w:rFonts w:ascii="Times New Roman" w:eastAsia="Calibri" w:hAnsi="Times New Roman" w:cs="Times New Roman"/>
          <w:b/>
          <w:bCs/>
          <w:kern w:val="0"/>
          <w:sz w:val="24"/>
          <w14:ligatures w14:val="none"/>
        </w:rPr>
        <w:t>Figure 6</w:t>
      </w:r>
      <w:r w:rsidR="00382756" w:rsidRPr="00BD3935">
        <w:rPr>
          <w:rFonts w:ascii="Times New Roman" w:eastAsia="Calibri" w:hAnsi="Times New Roman" w:cs="Times New Roman"/>
          <w:kern w:val="0"/>
          <w:sz w:val="24"/>
          <w14:ligatures w14:val="none"/>
        </w:rPr>
        <w:t>)</w:t>
      </w:r>
      <w:r w:rsidRPr="00BD3935">
        <w:rPr>
          <w:rFonts w:ascii="Times New Roman" w:eastAsia="Calibri" w:hAnsi="Times New Roman" w:cs="Times New Roman"/>
          <w:kern w:val="0"/>
          <w:sz w:val="24"/>
          <w14:ligatures w14:val="none"/>
        </w:rPr>
        <w:t xml:space="preserve">. </w:t>
      </w:r>
      <w:r w:rsidR="00382756" w:rsidRPr="00BD3935">
        <w:rPr>
          <w:rFonts w:ascii="Times New Roman" w:eastAsia="Calibri" w:hAnsi="Times New Roman" w:cs="Times New Roman"/>
          <w:kern w:val="0"/>
          <w:sz w:val="24"/>
          <w14:ligatures w14:val="none"/>
        </w:rPr>
        <w:t>For example, s</w:t>
      </w:r>
      <w:r w:rsidRPr="00BD3935">
        <w:rPr>
          <w:rFonts w:ascii="Times New Roman" w:eastAsia="Calibri" w:hAnsi="Times New Roman" w:cs="Times New Roman"/>
          <w:kern w:val="0"/>
          <w:sz w:val="24"/>
          <w14:ligatures w14:val="none"/>
        </w:rPr>
        <w:t>oil organic carbon per hectare (</w:t>
      </w:r>
      <w:r w:rsidR="00B34C59" w:rsidRPr="00BD3935">
        <w:rPr>
          <w:rFonts w:ascii="Times New Roman" w:eastAsia="Calibri" w:hAnsi="Times New Roman" w:cs="Times New Roman"/>
          <w:kern w:val="0"/>
          <w:sz w:val="24"/>
          <w14:ligatures w14:val="none"/>
        </w:rPr>
        <w:t xml:space="preserve">Mg </w:t>
      </w:r>
      <w:r w:rsidRPr="00BD3935">
        <w:rPr>
          <w:rFonts w:ascii="Times New Roman" w:eastAsia="Calibri" w:hAnsi="Times New Roman" w:cs="Times New Roman"/>
          <w:kern w:val="0"/>
          <w:sz w:val="24"/>
          <w14:ligatures w14:val="none"/>
        </w:rPr>
        <w:t>ha</w:t>
      </w:r>
      <w:r w:rsidR="00B34C59" w:rsidRPr="00BD3935">
        <w:rPr>
          <w:rFonts w:ascii="Times New Roman" w:eastAsia="Calibri" w:hAnsi="Times New Roman" w:cs="Times New Roman"/>
          <w:kern w:val="0"/>
          <w:sz w:val="24"/>
          <w:vertAlign w:val="superscript"/>
          <w14:ligatures w14:val="none"/>
        </w:rPr>
        <w:t>-1</w:t>
      </w:r>
      <w:r w:rsidRPr="00BD3935">
        <w:rPr>
          <w:rFonts w:ascii="Times New Roman" w:eastAsia="Calibri" w:hAnsi="Times New Roman" w:cs="Times New Roman"/>
          <w:kern w:val="0"/>
          <w:sz w:val="24"/>
          <w14:ligatures w14:val="none"/>
        </w:rPr>
        <w:t>) exhibits a strong positive correlation with land use (r = 0.643), and elevation (r = 0.556), whereas a moderate positive correlation with rainfall (r = 0.398), normalized difference vegetation index (NDVI) (r = 0.397), bare soil index (BSI) (r = 0.395), and land surface temperature (LST) (r = 0.398). SOC</w:t>
      </w:r>
      <w:r w:rsidR="00B34C59" w:rsidRPr="00BD3935">
        <w:rPr>
          <w:rFonts w:ascii="Times New Roman" w:eastAsia="Calibri" w:hAnsi="Times New Roman" w:cs="Times New Roman"/>
          <w:kern w:val="0"/>
          <w:sz w:val="24"/>
          <w14:ligatures w14:val="none"/>
        </w:rPr>
        <w:t xml:space="preserve"> </w:t>
      </w:r>
      <w:r w:rsidRPr="00BD3935">
        <w:rPr>
          <w:rFonts w:ascii="Times New Roman" w:eastAsia="Calibri" w:hAnsi="Times New Roman" w:cs="Times New Roman"/>
          <w:kern w:val="0"/>
          <w:sz w:val="24"/>
          <w14:ligatures w14:val="none"/>
        </w:rPr>
        <w:t>shows a weak positive correlation with slope (r = 0.067). Rainfall reveals a strong positive correlation with NDVI (r = 0.919), BSI (r = 0.939), and LST (r = 0.999), indicating a robust relationship between higher rainfall and increased vegetation density and consequently enhanced vegetation health and surface temperature. These findings highlight the interlinks among the variables and provide insights into their associations.</w:t>
      </w:r>
      <w:r w:rsidR="00B34C59" w:rsidRPr="00BD3935">
        <w:rPr>
          <w:rFonts w:ascii="Times New Roman" w:eastAsia="Calibri" w:hAnsi="Times New Roman" w:cs="Times New Roman"/>
          <w:kern w:val="0"/>
          <w:sz w:val="24"/>
          <w14:ligatures w14:val="none"/>
        </w:rPr>
        <w:t xml:space="preserve"> Many studies have reported strong relationships between SOC and land use in </w:t>
      </w:r>
      <w:r w:rsidR="005143EA" w:rsidRPr="00BD3935">
        <w:rPr>
          <w:rFonts w:ascii="Times New Roman" w:eastAsia="Calibri" w:hAnsi="Times New Roman" w:cs="Times New Roman"/>
          <w:kern w:val="0"/>
          <w:sz w:val="24"/>
          <w14:ligatures w14:val="none"/>
        </w:rPr>
        <w:t>Brazil</w:t>
      </w:r>
      <w:r w:rsidR="00B34C59" w:rsidRPr="00BD3935">
        <w:rPr>
          <w:rFonts w:ascii="Times New Roman" w:eastAsia="Calibri" w:hAnsi="Times New Roman" w:cs="Times New Roman"/>
          <w:kern w:val="0"/>
          <w:sz w:val="24"/>
          <w14:ligatures w14:val="none"/>
        </w:rPr>
        <w:t xml:space="preserve"> (</w:t>
      </w:r>
      <w:r w:rsidR="00D2730E" w:rsidRPr="00BD3935">
        <w:rPr>
          <w:rFonts w:ascii="Times New Roman" w:eastAsia="Calibri" w:hAnsi="Times New Roman" w:cs="Times New Roman"/>
          <w:kern w:val="0"/>
          <w:sz w:val="24"/>
          <w14:ligatures w14:val="none"/>
        </w:rPr>
        <w:t>Teodoro et al. 2024; da Silva Souza et al. 2024</w:t>
      </w:r>
      <w:r w:rsidR="005143EA" w:rsidRPr="00BD3935">
        <w:rPr>
          <w:rFonts w:ascii="Times New Roman" w:eastAsia="Calibri" w:hAnsi="Times New Roman" w:cs="Times New Roman"/>
          <w:kern w:val="0"/>
          <w:sz w:val="24"/>
          <w14:ligatures w14:val="none"/>
        </w:rPr>
        <w:t>),</w:t>
      </w:r>
      <w:r w:rsidR="00D2730E" w:rsidRPr="00BD3935">
        <w:rPr>
          <w:rFonts w:ascii="Times New Roman" w:eastAsia="Calibri" w:hAnsi="Times New Roman" w:cs="Times New Roman"/>
          <w:kern w:val="0"/>
          <w:sz w:val="24"/>
          <w14:ligatures w14:val="none"/>
        </w:rPr>
        <w:t xml:space="preserve"> </w:t>
      </w:r>
      <w:r w:rsidR="00B34C59" w:rsidRPr="00BD3935">
        <w:rPr>
          <w:rFonts w:ascii="Times New Roman" w:eastAsia="Calibri" w:hAnsi="Times New Roman" w:cs="Times New Roman"/>
          <w:kern w:val="0"/>
          <w:sz w:val="24"/>
          <w14:ligatures w14:val="none"/>
        </w:rPr>
        <w:t>and globally (</w:t>
      </w:r>
      <w:r w:rsidR="00EF6205" w:rsidRPr="00BD3935">
        <w:rPr>
          <w:rFonts w:ascii="Times New Roman" w:eastAsia="Calibri" w:hAnsi="Times New Roman" w:cs="Times New Roman"/>
          <w:kern w:val="0"/>
          <w:sz w:val="24"/>
          <w14:ligatures w14:val="none"/>
        </w:rPr>
        <w:t xml:space="preserve">Gao et al. 2024; </w:t>
      </w:r>
      <w:r w:rsidR="005143EA" w:rsidRPr="00BD3935">
        <w:rPr>
          <w:rFonts w:ascii="Times New Roman" w:eastAsia="Calibri" w:hAnsi="Times New Roman" w:cs="Times New Roman"/>
          <w:kern w:val="0"/>
          <w:sz w:val="24"/>
          <w14:ligatures w14:val="none"/>
        </w:rPr>
        <w:t>Zomer, et al. 2017</w:t>
      </w:r>
      <w:r w:rsidR="00B34C59" w:rsidRPr="00BD3935">
        <w:rPr>
          <w:rFonts w:ascii="Times New Roman" w:eastAsia="Calibri" w:hAnsi="Times New Roman" w:cs="Times New Roman"/>
          <w:kern w:val="0"/>
          <w:sz w:val="24"/>
          <w14:ligatures w14:val="none"/>
        </w:rPr>
        <w:t>).</w:t>
      </w:r>
      <w:r w:rsidR="00A95D09" w:rsidRPr="00BD3935">
        <w:rPr>
          <w:rFonts w:ascii="Times New Roman" w:eastAsia="Calibri" w:hAnsi="Times New Roman" w:cs="Times New Roman"/>
          <w:kern w:val="0"/>
          <w:sz w:val="24"/>
          <w14:ligatures w14:val="none"/>
        </w:rPr>
        <w:t xml:space="preserve"> In a global scale, it has been reported that if the SOC content in the top soil in cropland increased from 0.27% to 0.54%, a stock ranging from 0.56 to 1.15 t C.ha.yr</w:t>
      </w:r>
      <w:r w:rsidR="00A95D09" w:rsidRPr="00BD3935">
        <w:rPr>
          <w:rFonts w:ascii="Times New Roman" w:eastAsia="Calibri" w:hAnsi="Times New Roman" w:cs="Times New Roman"/>
          <w:kern w:val="0"/>
          <w:sz w:val="24"/>
          <w:vertAlign w:val="superscript"/>
          <w14:ligatures w14:val="none"/>
        </w:rPr>
        <w:t>-1</w:t>
      </w:r>
      <w:r w:rsidR="00A95D09" w:rsidRPr="00BD3935">
        <w:rPr>
          <w:rFonts w:ascii="Times New Roman" w:eastAsia="Calibri" w:hAnsi="Times New Roman" w:cs="Times New Roman"/>
          <w:kern w:val="0"/>
          <w:sz w:val="24"/>
          <w14:ligatures w14:val="none"/>
        </w:rPr>
        <w:t xml:space="preserve"> could be sequestered </w:t>
      </w:r>
      <w:r w:rsidR="00A95D09" w:rsidRPr="00BD3935">
        <w:rPr>
          <w:rFonts w:ascii="Times New Roman" w:eastAsia="Calibri" w:hAnsi="Times New Roman" w:cs="Times New Roman"/>
          <w:kern w:val="0"/>
          <w:sz w:val="24"/>
          <w14:ligatures w14:val="none"/>
        </w:rPr>
        <w:lastRenderedPageBreak/>
        <w:t>, and this could represent 0.90 to 1.85 Pg C yr</w:t>
      </w:r>
      <w:r w:rsidR="00A95D09" w:rsidRPr="00BD3935">
        <w:rPr>
          <w:rFonts w:ascii="Times New Roman" w:eastAsia="Calibri" w:hAnsi="Times New Roman" w:cs="Times New Roman"/>
          <w:kern w:val="0"/>
          <w:sz w:val="24"/>
          <w:vertAlign w:val="superscript"/>
          <w14:ligatures w14:val="none"/>
        </w:rPr>
        <w:t>-1</w:t>
      </w:r>
      <w:r w:rsidR="00A95D09" w:rsidRPr="00BD3935">
        <w:rPr>
          <w:rFonts w:ascii="Times New Roman" w:eastAsia="Calibri" w:hAnsi="Times New Roman" w:cs="Times New Roman"/>
          <w:kern w:val="0"/>
          <w:sz w:val="24"/>
          <w14:ligatures w14:val="none"/>
        </w:rPr>
        <w:t xml:space="preserve"> for at least a continuous 20 years of the sequestration (</w:t>
      </w:r>
      <w:r w:rsidR="005143EA" w:rsidRPr="00BD3935">
        <w:rPr>
          <w:rFonts w:ascii="Times New Roman" w:eastAsia="Calibri" w:hAnsi="Times New Roman" w:cs="Times New Roman"/>
          <w:kern w:val="0"/>
          <w:sz w:val="24"/>
          <w14:ligatures w14:val="none"/>
        </w:rPr>
        <w:t>Zomer, et al. 2017)</w:t>
      </w:r>
      <w:r w:rsidR="00F92214" w:rsidRPr="00BD3935">
        <w:rPr>
          <w:rFonts w:ascii="Times New Roman" w:eastAsia="Calibri" w:hAnsi="Times New Roman" w:cs="Times New Roman"/>
          <w:kern w:val="0"/>
          <w:sz w:val="24"/>
          <w14:ligatures w14:val="none"/>
        </w:rPr>
        <w:t>.</w:t>
      </w:r>
    </w:p>
    <w:p w14:paraId="763178EC" w14:textId="77777777" w:rsidR="00F92214" w:rsidRPr="00BD3935" w:rsidRDefault="00F92214" w:rsidP="00A006B7">
      <w:pPr>
        <w:spacing w:line="360" w:lineRule="auto"/>
        <w:jc w:val="both"/>
        <w:rPr>
          <w:rFonts w:ascii="Times New Roman" w:eastAsia="Calibri" w:hAnsi="Times New Roman" w:cs="Times New Roman"/>
          <w:b/>
          <w:bCs/>
          <w:kern w:val="0"/>
          <w:sz w:val="24"/>
          <w14:ligatures w14:val="none"/>
        </w:rPr>
      </w:pPr>
    </w:p>
    <w:p w14:paraId="3457B531" w14:textId="0DFB2119" w:rsidR="00A006B7" w:rsidRPr="00BD3935" w:rsidRDefault="00222BC3" w:rsidP="00A006B7">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b/>
          <w:bCs/>
          <w:kern w:val="0"/>
          <w:sz w:val="24"/>
          <w14:ligatures w14:val="none"/>
        </w:rPr>
        <w:t>Table 2</w:t>
      </w:r>
      <w:r w:rsidRPr="00BD3935">
        <w:rPr>
          <w:rFonts w:ascii="Times New Roman" w:eastAsia="Calibri" w:hAnsi="Times New Roman" w:cs="Times New Roman"/>
          <w:kern w:val="0"/>
          <w:sz w:val="24"/>
          <w14:ligatures w14:val="none"/>
        </w:rPr>
        <w:t xml:space="preserve">. Summarized </w:t>
      </w:r>
      <w:r w:rsidR="00A006B7" w:rsidRPr="00BD3935">
        <w:rPr>
          <w:rFonts w:ascii="Times New Roman" w:eastAsia="Calibri" w:hAnsi="Times New Roman" w:cs="Times New Roman"/>
          <w:kern w:val="0"/>
          <w:sz w:val="24"/>
          <w14:ligatures w14:val="none"/>
        </w:rPr>
        <w:t xml:space="preserve">OLS </w:t>
      </w:r>
      <w:r w:rsidRPr="00BD3935">
        <w:rPr>
          <w:rFonts w:ascii="Times New Roman" w:eastAsia="Calibri" w:hAnsi="Times New Roman" w:cs="Times New Roman"/>
          <w:kern w:val="0"/>
          <w:sz w:val="24"/>
          <w14:ligatures w14:val="none"/>
        </w:rPr>
        <w:t>regression</w:t>
      </w:r>
      <w:r w:rsidR="00A006B7" w:rsidRPr="00BD3935">
        <w:rPr>
          <w:rFonts w:ascii="Times New Roman" w:eastAsia="Calibri" w:hAnsi="Times New Roman" w:cs="Times New Roman"/>
          <w:kern w:val="0"/>
          <w:sz w:val="24"/>
          <w14:ligatures w14:val="none"/>
        </w:rPr>
        <w:t xml:space="preserve"> </w:t>
      </w:r>
      <w:r w:rsidRPr="00BD3935">
        <w:rPr>
          <w:rFonts w:ascii="Times New Roman" w:eastAsia="Calibri" w:hAnsi="Times New Roman" w:cs="Times New Roman"/>
          <w:kern w:val="0"/>
          <w:sz w:val="24"/>
          <w14:ligatures w14:val="none"/>
        </w:rPr>
        <w:t>results used for model validation</w:t>
      </w:r>
    </w:p>
    <w:p w14:paraId="23CEE801" w14:textId="77777777" w:rsidR="00A006B7" w:rsidRPr="00BD3935" w:rsidRDefault="00A006B7" w:rsidP="00A006B7">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noProof/>
          <w:kern w:val="0"/>
          <w:sz w:val="24"/>
          <w14:ligatures w14:val="none"/>
        </w:rPr>
        <w:drawing>
          <wp:inline distT="0" distB="0" distL="0" distR="0" wp14:anchorId="64E1EA1E" wp14:editId="49DF6454">
            <wp:extent cx="5477639" cy="3648584"/>
            <wp:effectExtent l="0" t="0" r="8890" b="9525"/>
            <wp:docPr id="96547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73002" name=""/>
                    <pic:cNvPicPr/>
                  </pic:nvPicPr>
                  <pic:blipFill>
                    <a:blip r:embed="rId11"/>
                    <a:stretch>
                      <a:fillRect/>
                    </a:stretch>
                  </pic:blipFill>
                  <pic:spPr>
                    <a:xfrm>
                      <a:off x="0" y="0"/>
                      <a:ext cx="5477639" cy="3648584"/>
                    </a:xfrm>
                    <a:prstGeom prst="rect">
                      <a:avLst/>
                    </a:prstGeom>
                  </pic:spPr>
                </pic:pic>
              </a:graphicData>
            </a:graphic>
          </wp:inline>
        </w:drawing>
      </w:r>
    </w:p>
    <w:p w14:paraId="4DC1672A" w14:textId="58B972B5" w:rsidR="00A006B7" w:rsidRPr="00BD3935" w:rsidRDefault="00A006B7" w:rsidP="0087207C">
      <w:pPr>
        <w:spacing w:line="360" w:lineRule="auto"/>
        <w:jc w:val="both"/>
        <w:rPr>
          <w:rFonts w:ascii="Times New Roman" w:eastAsia="Calibri" w:hAnsi="Times New Roman" w:cs="Times New Roman"/>
          <w:kern w:val="0"/>
          <w:sz w:val="24"/>
          <w14:ligatures w14:val="none"/>
        </w:rPr>
      </w:pPr>
      <w:r w:rsidRPr="00BD3935">
        <w:rPr>
          <w:rFonts w:ascii="Times New Roman" w:eastAsia="Calibri" w:hAnsi="Times New Roman" w:cs="Times New Roman"/>
          <w:kern w:val="0"/>
          <w:sz w:val="24"/>
          <w14:ligatures w14:val="none"/>
        </w:rPr>
        <w:t>The OLS regression analysis was conducted with a dataset consisting of 2,607 observations</w:t>
      </w:r>
      <w:r w:rsidR="00F92214" w:rsidRPr="00BD3935">
        <w:rPr>
          <w:rFonts w:ascii="Times New Roman" w:eastAsia="Calibri" w:hAnsi="Times New Roman" w:cs="Times New Roman"/>
          <w:kern w:val="0"/>
          <w:sz w:val="24"/>
          <w14:ligatures w14:val="none"/>
        </w:rPr>
        <w:t xml:space="preserve"> (</w:t>
      </w:r>
      <w:r w:rsidR="00F92214" w:rsidRPr="00BD3935">
        <w:rPr>
          <w:rFonts w:ascii="Times New Roman" w:eastAsia="Calibri" w:hAnsi="Times New Roman" w:cs="Times New Roman"/>
          <w:b/>
          <w:bCs/>
          <w:kern w:val="0"/>
          <w:sz w:val="24"/>
          <w14:ligatures w14:val="none"/>
        </w:rPr>
        <w:t>Table 2</w:t>
      </w:r>
      <w:r w:rsidR="00F92214" w:rsidRPr="00BD3935">
        <w:rPr>
          <w:rFonts w:ascii="Times New Roman" w:eastAsia="Calibri" w:hAnsi="Times New Roman" w:cs="Times New Roman"/>
          <w:kern w:val="0"/>
          <w:sz w:val="24"/>
          <w14:ligatures w14:val="none"/>
        </w:rPr>
        <w:t>)</w:t>
      </w:r>
      <w:r w:rsidRPr="00BD3935">
        <w:rPr>
          <w:rFonts w:ascii="Times New Roman" w:eastAsia="Calibri" w:hAnsi="Times New Roman" w:cs="Times New Roman"/>
          <w:kern w:val="0"/>
          <w:sz w:val="24"/>
          <w14:ligatures w14:val="none"/>
        </w:rPr>
        <w:t xml:space="preserve">. The model yielded an R-squared value of 0.708, indicating that approximately 70.8% of the variability in the dependent variable (SOC </w:t>
      </w:r>
      <w:r w:rsidR="00222BC3" w:rsidRPr="00BD3935">
        <w:rPr>
          <w:rFonts w:ascii="Times New Roman" w:eastAsia="Calibri" w:hAnsi="Times New Roman" w:cs="Times New Roman"/>
          <w:kern w:val="0"/>
          <w:sz w:val="24"/>
          <w14:ligatures w14:val="none"/>
        </w:rPr>
        <w:t>Mg</w:t>
      </w:r>
      <w:r w:rsidRPr="00BD3935">
        <w:rPr>
          <w:rFonts w:ascii="Times New Roman" w:eastAsia="Calibri" w:hAnsi="Times New Roman" w:cs="Times New Roman"/>
          <w:kern w:val="0"/>
          <w:sz w:val="24"/>
          <w14:ligatures w14:val="none"/>
        </w:rPr>
        <w:t xml:space="preserve"> ha</w:t>
      </w:r>
      <w:r w:rsidRPr="00BD3935">
        <w:rPr>
          <w:rFonts w:ascii="Times New Roman" w:eastAsia="Calibri" w:hAnsi="Times New Roman" w:cs="Times New Roman"/>
          <w:kern w:val="0"/>
          <w:sz w:val="24"/>
          <w:vertAlign w:val="superscript"/>
          <w14:ligatures w14:val="none"/>
        </w:rPr>
        <w:t>-1</w:t>
      </w:r>
      <w:r w:rsidRPr="00BD3935">
        <w:rPr>
          <w:rFonts w:ascii="Times New Roman" w:eastAsia="Calibri" w:hAnsi="Times New Roman" w:cs="Times New Roman"/>
          <w:kern w:val="0"/>
          <w:sz w:val="24"/>
          <w14:ligatures w14:val="none"/>
        </w:rPr>
        <w:t>) can be explained by the independent variables included in the model</w:t>
      </w:r>
      <w:r w:rsidR="00222BC3" w:rsidRPr="00BD3935">
        <w:rPr>
          <w:rFonts w:ascii="Times New Roman" w:eastAsia="Calibri" w:hAnsi="Times New Roman" w:cs="Times New Roman"/>
          <w:kern w:val="0"/>
          <w:sz w:val="24"/>
          <w14:ligatures w14:val="none"/>
        </w:rPr>
        <w:t xml:space="preserve"> (</w:t>
      </w:r>
      <w:r w:rsidR="00222BC3" w:rsidRPr="00BD3935">
        <w:rPr>
          <w:rFonts w:ascii="Times New Roman" w:eastAsia="Calibri" w:hAnsi="Times New Roman" w:cs="Times New Roman"/>
          <w:b/>
          <w:bCs/>
          <w:kern w:val="0"/>
          <w:sz w:val="24"/>
          <w14:ligatures w14:val="none"/>
        </w:rPr>
        <w:t>Table 2</w:t>
      </w:r>
      <w:r w:rsidR="00222BC3" w:rsidRPr="00BD3935">
        <w:rPr>
          <w:rFonts w:ascii="Times New Roman" w:eastAsia="Calibri" w:hAnsi="Times New Roman" w:cs="Times New Roman"/>
          <w:kern w:val="0"/>
          <w:sz w:val="24"/>
          <w14:ligatures w14:val="none"/>
        </w:rPr>
        <w:t>)</w:t>
      </w:r>
      <w:r w:rsidRPr="00BD3935">
        <w:rPr>
          <w:rFonts w:ascii="Times New Roman" w:eastAsia="Calibri" w:hAnsi="Times New Roman" w:cs="Times New Roman"/>
          <w:kern w:val="0"/>
          <w:sz w:val="24"/>
          <w14:ligatures w14:val="none"/>
        </w:rPr>
        <w:t xml:space="preserve">. The adjusted R-squared value was 0.707, suggesting that the model's predictive power remains consistent even after accounting for the number of predictors. Among the independent variables, land use, rainfall, elevation, and LST (Land Surface Temperature) were found to be statistically significant predictors of </w:t>
      </w:r>
      <w:bookmarkStart w:id="15" w:name="_Hlk158286192"/>
      <w:r w:rsidRPr="00BD3935">
        <w:rPr>
          <w:rFonts w:ascii="Times New Roman" w:eastAsia="Calibri" w:hAnsi="Times New Roman" w:cs="Times New Roman"/>
          <w:kern w:val="0"/>
          <w:sz w:val="24"/>
          <w14:ligatures w14:val="none"/>
        </w:rPr>
        <w:t>SOC</w:t>
      </w:r>
      <w:bookmarkEnd w:id="15"/>
      <w:r w:rsidRPr="00BD3935">
        <w:rPr>
          <w:rFonts w:ascii="Times New Roman" w:eastAsia="Calibri" w:hAnsi="Times New Roman" w:cs="Times New Roman"/>
          <w:kern w:val="0"/>
          <w:sz w:val="24"/>
          <w14:ligatures w14:val="none"/>
        </w:rPr>
        <w:t xml:space="preserve">. Land use, rainfall and elevations had positive coefficients of 0.7187, 0.6898, and 0.6679 respectively which implies that an increase </w:t>
      </w:r>
      <w:r w:rsidR="0087207C" w:rsidRPr="00BD3935">
        <w:rPr>
          <w:rFonts w:ascii="Times New Roman" w:eastAsia="Calibri" w:hAnsi="Times New Roman" w:cs="Times New Roman"/>
          <w:kern w:val="0"/>
          <w:sz w:val="24"/>
          <w14:ligatures w14:val="none"/>
        </w:rPr>
        <w:t xml:space="preserve">or change </w:t>
      </w:r>
      <w:r w:rsidRPr="00BD3935">
        <w:rPr>
          <w:rFonts w:ascii="Times New Roman" w:eastAsia="Calibri" w:hAnsi="Times New Roman" w:cs="Times New Roman"/>
          <w:kern w:val="0"/>
          <w:sz w:val="24"/>
          <w14:ligatures w14:val="none"/>
        </w:rPr>
        <w:t xml:space="preserve">in </w:t>
      </w:r>
      <w:r w:rsidR="0087207C" w:rsidRPr="00BD3935">
        <w:rPr>
          <w:rFonts w:ascii="Times New Roman" w:eastAsia="Calibri" w:hAnsi="Times New Roman" w:cs="Times New Roman"/>
          <w:kern w:val="0"/>
          <w:sz w:val="24"/>
          <w14:ligatures w14:val="none"/>
        </w:rPr>
        <w:t>l</w:t>
      </w:r>
      <w:r w:rsidRPr="00BD3935">
        <w:rPr>
          <w:rFonts w:ascii="Times New Roman" w:eastAsia="Calibri" w:hAnsi="Times New Roman" w:cs="Times New Roman"/>
          <w:kern w:val="0"/>
          <w:sz w:val="24"/>
          <w14:ligatures w14:val="none"/>
        </w:rPr>
        <w:t xml:space="preserve">and use, rainfall, and elevations are associated with </w:t>
      </w:r>
      <w:r w:rsidR="0087207C" w:rsidRPr="00BD3935">
        <w:rPr>
          <w:rFonts w:ascii="Times New Roman" w:eastAsia="Calibri" w:hAnsi="Times New Roman" w:cs="Times New Roman"/>
          <w:kern w:val="0"/>
          <w:sz w:val="24"/>
          <w14:ligatures w14:val="none"/>
        </w:rPr>
        <w:t>either a change</w:t>
      </w:r>
      <w:r w:rsidRPr="00BD3935">
        <w:rPr>
          <w:rFonts w:ascii="Times New Roman" w:eastAsia="Calibri" w:hAnsi="Times New Roman" w:cs="Times New Roman"/>
          <w:kern w:val="0"/>
          <w:sz w:val="24"/>
          <w14:ligatures w14:val="none"/>
        </w:rPr>
        <w:t xml:space="preserve"> in SOC</w:t>
      </w:r>
      <w:r w:rsidR="0087207C" w:rsidRPr="00BD3935">
        <w:rPr>
          <w:rFonts w:ascii="Times New Roman" w:eastAsia="Calibri" w:hAnsi="Times New Roman" w:cs="Times New Roman"/>
          <w:kern w:val="0"/>
          <w:sz w:val="24"/>
          <w14:ligatures w14:val="none"/>
        </w:rPr>
        <w:t xml:space="preserve"> (Teodoro et al. 2024; da Silva Souza et al. 2024</w:t>
      </w:r>
      <w:r w:rsidR="0092154C" w:rsidRPr="00BD3935">
        <w:rPr>
          <w:rFonts w:ascii="Times New Roman" w:eastAsia="Calibri" w:hAnsi="Times New Roman" w:cs="Times New Roman"/>
          <w:kern w:val="0"/>
          <w:sz w:val="24"/>
          <w14:ligatures w14:val="none"/>
        </w:rPr>
        <w:t xml:space="preserve">; </w:t>
      </w:r>
      <w:r w:rsidR="0087207C" w:rsidRPr="00BD3935">
        <w:rPr>
          <w:rFonts w:ascii="Times New Roman" w:eastAsia="Calibri" w:hAnsi="Times New Roman" w:cs="Times New Roman"/>
          <w:kern w:val="0"/>
          <w:sz w:val="24"/>
          <w14:ligatures w14:val="none"/>
        </w:rPr>
        <w:t>Zomer, et al. 2017)</w:t>
      </w:r>
      <w:r w:rsidR="00222BC3" w:rsidRPr="00BD3935">
        <w:rPr>
          <w:rFonts w:ascii="Times New Roman" w:eastAsia="Calibri" w:hAnsi="Times New Roman" w:cs="Times New Roman"/>
          <w:kern w:val="0"/>
          <w:sz w:val="24"/>
          <w14:ligatures w14:val="none"/>
        </w:rPr>
        <w:t>.</w:t>
      </w:r>
      <w:r w:rsidRPr="00BD3935">
        <w:rPr>
          <w:rFonts w:ascii="Times New Roman" w:eastAsia="Calibri" w:hAnsi="Times New Roman" w:cs="Times New Roman"/>
          <w:kern w:val="0"/>
          <w:sz w:val="24"/>
          <w14:ligatures w14:val="none"/>
        </w:rPr>
        <w:t xml:space="preserve"> On the other hand, LST </w:t>
      </w:r>
      <w:r w:rsidRPr="00BD3935">
        <w:rPr>
          <w:rFonts w:ascii="Times New Roman" w:eastAsia="Calibri" w:hAnsi="Times New Roman" w:cs="Times New Roman"/>
          <w:kern w:val="0"/>
          <w:sz w:val="24"/>
          <w14:ligatures w14:val="none"/>
        </w:rPr>
        <w:lastRenderedPageBreak/>
        <w:t>had a negative coefficient of -0.1439, suggesting that higher LST values are associated with lower SOC values.</w:t>
      </w:r>
    </w:p>
    <w:p w14:paraId="3965265A" w14:textId="77777777" w:rsidR="00581D5D" w:rsidRPr="00BD3935" w:rsidRDefault="00581D5D">
      <w:pPr>
        <w:rPr>
          <w:rFonts w:ascii="Times New Roman" w:hAnsi="Times New Roman" w:cs="Times New Roman"/>
          <w:b/>
          <w:bCs/>
          <w:sz w:val="24"/>
          <w:szCs w:val="24"/>
        </w:rPr>
      </w:pPr>
    </w:p>
    <w:p w14:paraId="42A84120" w14:textId="37B86E1D" w:rsidR="00A44670" w:rsidRPr="00BD3935" w:rsidRDefault="00613545">
      <w:pPr>
        <w:rPr>
          <w:rFonts w:ascii="Times New Roman" w:hAnsi="Times New Roman" w:cs="Times New Roman"/>
          <w:b/>
          <w:bCs/>
          <w:sz w:val="24"/>
          <w:szCs w:val="24"/>
        </w:rPr>
      </w:pPr>
      <w:r w:rsidRPr="00BD3935">
        <w:rPr>
          <w:rFonts w:ascii="Times New Roman" w:hAnsi="Times New Roman" w:cs="Times New Roman"/>
          <w:b/>
          <w:bCs/>
          <w:sz w:val="24"/>
          <w:szCs w:val="24"/>
        </w:rPr>
        <w:t>Conclusion</w:t>
      </w:r>
    </w:p>
    <w:p w14:paraId="7A876949" w14:textId="5B11EFC1" w:rsidR="00613545" w:rsidRPr="00BD3935" w:rsidRDefault="00A67AA0" w:rsidP="00341D0E">
      <w:pPr>
        <w:spacing w:line="360" w:lineRule="auto"/>
        <w:jc w:val="both"/>
        <w:rPr>
          <w:rFonts w:ascii="Times New Roman" w:hAnsi="Times New Roman" w:cs="Times New Roman"/>
          <w:sz w:val="24"/>
          <w:szCs w:val="24"/>
        </w:rPr>
      </w:pPr>
      <w:r w:rsidRPr="00BD3935">
        <w:rPr>
          <w:rFonts w:ascii="Times New Roman" w:hAnsi="Times New Roman" w:cs="Times New Roman"/>
          <w:sz w:val="24"/>
          <w:szCs w:val="24"/>
        </w:rPr>
        <w:t xml:space="preserve">The study revealed significant changes in land use between 2020 and 2050 with croplands indicating the highest positive change whereas pastures showed the highest negative change. In exclusion of croplands, </w:t>
      </w:r>
      <w:r w:rsidR="00B90043" w:rsidRPr="00BD3935">
        <w:rPr>
          <w:rFonts w:ascii="Times New Roman" w:hAnsi="Times New Roman" w:cs="Times New Roman"/>
          <w:sz w:val="24"/>
          <w:szCs w:val="24"/>
        </w:rPr>
        <w:t xml:space="preserve">settlement, and bare land/sparse vegetation also increased marginally, while forests decreased significantly as pastures, shrubland and wetland had marginal decrease during the three decades. </w:t>
      </w:r>
      <w:r w:rsidR="0015443B" w:rsidRPr="00BD3935">
        <w:rPr>
          <w:rFonts w:ascii="Times New Roman" w:hAnsi="Times New Roman" w:cs="Times New Roman"/>
          <w:sz w:val="24"/>
          <w:szCs w:val="24"/>
        </w:rPr>
        <w:t xml:space="preserve">The State of Mato Grosso as obtainable in other high agricultural producing regions of Brazil has been popular for the expansion of its arable lands by converting the pastures and forests to croplands.  This approach has placed the State and the nation among the top producers and exporters of agricultural products used for different purposes including food, </w:t>
      </w:r>
      <w:r w:rsidR="00E807D6" w:rsidRPr="00BD3935">
        <w:rPr>
          <w:rFonts w:ascii="Times New Roman" w:hAnsi="Times New Roman" w:cs="Times New Roman"/>
          <w:sz w:val="24"/>
          <w:szCs w:val="24"/>
        </w:rPr>
        <w:t xml:space="preserve">fodder, fibre, and </w:t>
      </w:r>
      <w:r w:rsidR="0015443B" w:rsidRPr="00BD3935">
        <w:rPr>
          <w:rFonts w:ascii="Times New Roman" w:hAnsi="Times New Roman" w:cs="Times New Roman"/>
          <w:sz w:val="24"/>
          <w:szCs w:val="24"/>
        </w:rPr>
        <w:t>energy</w:t>
      </w:r>
      <w:r w:rsidR="00E807D6" w:rsidRPr="00BD3935">
        <w:rPr>
          <w:rFonts w:ascii="Times New Roman" w:hAnsi="Times New Roman" w:cs="Times New Roman"/>
          <w:sz w:val="24"/>
          <w:szCs w:val="24"/>
        </w:rPr>
        <w:t xml:space="preserve"> (biofuel, biogas, etc). As the demands for these products of </w:t>
      </w:r>
      <w:r w:rsidR="007E6672" w:rsidRPr="00BD3935">
        <w:rPr>
          <w:rFonts w:ascii="Times New Roman" w:hAnsi="Times New Roman" w:cs="Times New Roman"/>
          <w:sz w:val="24"/>
          <w:szCs w:val="24"/>
        </w:rPr>
        <w:t>soybean</w:t>
      </w:r>
      <w:r w:rsidR="0015443B" w:rsidRPr="00BD3935">
        <w:rPr>
          <w:rFonts w:ascii="Times New Roman" w:hAnsi="Times New Roman" w:cs="Times New Roman"/>
          <w:sz w:val="24"/>
          <w:szCs w:val="24"/>
        </w:rPr>
        <w:t>, maize, sugar cane</w:t>
      </w:r>
      <w:r w:rsidR="00E807D6" w:rsidRPr="00BD3935">
        <w:rPr>
          <w:rFonts w:ascii="Times New Roman" w:hAnsi="Times New Roman" w:cs="Times New Roman"/>
          <w:sz w:val="24"/>
          <w:szCs w:val="24"/>
        </w:rPr>
        <w:t>, oil palm, cowpea, and others continue to increase, croplands in Mato Grosso will continue to increase.</w:t>
      </w:r>
    </w:p>
    <w:p w14:paraId="3837EDED" w14:textId="1722ECC9" w:rsidR="00581D5D" w:rsidRPr="00BD3935" w:rsidRDefault="00A85FAD" w:rsidP="00677919">
      <w:pPr>
        <w:spacing w:line="360" w:lineRule="auto"/>
        <w:jc w:val="both"/>
        <w:rPr>
          <w:rFonts w:ascii="Times New Roman" w:hAnsi="Times New Roman" w:cs="Times New Roman"/>
          <w:sz w:val="24"/>
          <w:szCs w:val="24"/>
        </w:rPr>
      </w:pPr>
      <w:r w:rsidRPr="00BD3935">
        <w:rPr>
          <w:rFonts w:ascii="Times New Roman" w:hAnsi="Times New Roman" w:cs="Times New Roman"/>
          <w:sz w:val="24"/>
          <w:szCs w:val="24"/>
        </w:rPr>
        <w:t xml:space="preserve">The spatio-temporal analysis demonstrated that SOC stocks had high variability with 2050 recording substantially higher (i.e., more than 50%) when compared with the stocks found in 2020. The </w:t>
      </w:r>
      <w:r w:rsidR="0037337D" w:rsidRPr="00BD3935">
        <w:rPr>
          <w:rFonts w:ascii="Times New Roman" w:hAnsi="Times New Roman" w:cs="Times New Roman"/>
          <w:sz w:val="24"/>
          <w:szCs w:val="24"/>
        </w:rPr>
        <w:t>strong relationships between land use and SOC can never be overemphasized especially when the topsoil layer is concerned as the case of this study. For example, the C</w:t>
      </w:r>
      <w:r w:rsidRPr="00BD3935">
        <w:rPr>
          <w:rFonts w:ascii="Times New Roman" w:hAnsi="Times New Roman" w:cs="Times New Roman"/>
          <w:sz w:val="24"/>
          <w:szCs w:val="24"/>
        </w:rPr>
        <w:t xml:space="preserve">entral areas of the State </w:t>
      </w:r>
      <w:r w:rsidR="0015443B" w:rsidRPr="00BD3935">
        <w:rPr>
          <w:rFonts w:ascii="Times New Roman" w:hAnsi="Times New Roman" w:cs="Times New Roman"/>
          <w:sz w:val="24"/>
          <w:szCs w:val="24"/>
        </w:rPr>
        <w:t>prevailed with larger</w:t>
      </w:r>
      <w:r w:rsidRPr="00BD3935">
        <w:rPr>
          <w:rFonts w:ascii="Times New Roman" w:hAnsi="Times New Roman" w:cs="Times New Roman"/>
          <w:sz w:val="24"/>
          <w:szCs w:val="24"/>
        </w:rPr>
        <w:t xml:space="preserve"> SOC stocks </w:t>
      </w:r>
      <w:r w:rsidR="0015443B" w:rsidRPr="00BD3935">
        <w:rPr>
          <w:rFonts w:ascii="Times New Roman" w:hAnsi="Times New Roman" w:cs="Times New Roman"/>
          <w:sz w:val="24"/>
          <w:szCs w:val="24"/>
        </w:rPr>
        <w:t>relative to</w:t>
      </w:r>
      <w:r w:rsidRPr="00BD3935">
        <w:rPr>
          <w:rFonts w:ascii="Times New Roman" w:hAnsi="Times New Roman" w:cs="Times New Roman"/>
          <w:sz w:val="24"/>
          <w:szCs w:val="24"/>
        </w:rPr>
        <w:t xml:space="preserve"> either the Northeast or Southern part</w:t>
      </w:r>
      <w:r w:rsidR="00341D0E" w:rsidRPr="00BD3935">
        <w:rPr>
          <w:rFonts w:ascii="Times New Roman" w:hAnsi="Times New Roman" w:cs="Times New Roman"/>
          <w:sz w:val="24"/>
          <w:szCs w:val="24"/>
        </w:rPr>
        <w:t xml:space="preserve"> because of the adoption of climate-smart agriculture in the Cerrado region which dominates the central part.</w:t>
      </w:r>
      <w:r w:rsidRPr="00BD3935">
        <w:rPr>
          <w:rFonts w:ascii="Times New Roman" w:hAnsi="Times New Roman" w:cs="Times New Roman"/>
          <w:sz w:val="24"/>
          <w:szCs w:val="24"/>
        </w:rPr>
        <w:t xml:space="preserve"> </w:t>
      </w:r>
      <w:r w:rsidR="0037337D" w:rsidRPr="00BD3935">
        <w:rPr>
          <w:rFonts w:ascii="Times New Roman" w:hAnsi="Times New Roman" w:cs="Times New Roman"/>
          <w:sz w:val="24"/>
          <w:szCs w:val="24"/>
        </w:rPr>
        <w:t xml:space="preserve">In contrast, the Northeast and </w:t>
      </w:r>
      <w:r w:rsidR="004F3165" w:rsidRPr="00BD3935">
        <w:rPr>
          <w:rFonts w:ascii="Times New Roman" w:hAnsi="Times New Roman" w:cs="Times New Roman"/>
          <w:sz w:val="24"/>
          <w:szCs w:val="24"/>
        </w:rPr>
        <w:t>S</w:t>
      </w:r>
      <w:r w:rsidR="0037337D" w:rsidRPr="00BD3935">
        <w:rPr>
          <w:rFonts w:ascii="Times New Roman" w:hAnsi="Times New Roman" w:cs="Times New Roman"/>
          <w:sz w:val="24"/>
          <w:szCs w:val="24"/>
        </w:rPr>
        <w:t>outh have</w:t>
      </w:r>
      <w:r w:rsidR="004F3165" w:rsidRPr="00BD3935">
        <w:t xml:space="preserve"> </w:t>
      </w:r>
      <w:r w:rsidR="004F3165" w:rsidRPr="00BD3935">
        <w:rPr>
          <w:rFonts w:ascii="Times New Roman" w:hAnsi="Times New Roman" w:cs="Times New Roman"/>
          <w:sz w:val="24"/>
          <w:szCs w:val="24"/>
        </w:rPr>
        <w:t>Caatinga and Atlantic vegetations respectively with lower SOC stocks than the Cerrado croplands.</w:t>
      </w:r>
      <w:r w:rsidR="0037337D" w:rsidRPr="00BD3935">
        <w:rPr>
          <w:rFonts w:ascii="Times New Roman" w:hAnsi="Times New Roman" w:cs="Times New Roman"/>
          <w:sz w:val="24"/>
          <w:szCs w:val="24"/>
        </w:rPr>
        <w:t xml:space="preserve">  </w:t>
      </w:r>
      <w:r w:rsidR="00341D0E" w:rsidRPr="00BD3935">
        <w:rPr>
          <w:rFonts w:ascii="Times New Roman" w:hAnsi="Times New Roman" w:cs="Times New Roman"/>
          <w:sz w:val="24"/>
          <w:szCs w:val="24"/>
        </w:rPr>
        <w:t>The i</w:t>
      </w:r>
      <w:r w:rsidR="00E807D6" w:rsidRPr="00BD3935">
        <w:rPr>
          <w:rFonts w:ascii="Times New Roman" w:hAnsi="Times New Roman" w:cs="Times New Roman"/>
          <w:sz w:val="24"/>
          <w:szCs w:val="24"/>
        </w:rPr>
        <w:t xml:space="preserve">ncrease in SOC stocks in the next 30 years is a promising indication that </w:t>
      </w:r>
      <w:r w:rsidR="00341D0E" w:rsidRPr="00BD3935">
        <w:rPr>
          <w:rFonts w:ascii="Times New Roman" w:hAnsi="Times New Roman" w:cs="Times New Roman"/>
          <w:sz w:val="24"/>
          <w:szCs w:val="24"/>
        </w:rPr>
        <w:t xml:space="preserve">the adoption of </w:t>
      </w:r>
      <w:r w:rsidR="00E807D6" w:rsidRPr="00BD3935">
        <w:rPr>
          <w:rFonts w:ascii="Times New Roman" w:hAnsi="Times New Roman" w:cs="Times New Roman"/>
          <w:sz w:val="24"/>
          <w:szCs w:val="24"/>
        </w:rPr>
        <w:t xml:space="preserve">carbon farming systems </w:t>
      </w:r>
      <w:r w:rsidR="00341D0E" w:rsidRPr="00BD3935">
        <w:rPr>
          <w:rFonts w:ascii="Times New Roman" w:hAnsi="Times New Roman" w:cs="Times New Roman"/>
          <w:sz w:val="24"/>
          <w:szCs w:val="24"/>
        </w:rPr>
        <w:t xml:space="preserve">(such as integrated crop-livestock forest, crop-livestock) in the established </w:t>
      </w:r>
      <w:r w:rsidR="00E807D6" w:rsidRPr="00BD3935">
        <w:rPr>
          <w:rFonts w:ascii="Times New Roman" w:hAnsi="Times New Roman" w:cs="Times New Roman"/>
          <w:sz w:val="24"/>
          <w:szCs w:val="24"/>
        </w:rPr>
        <w:t xml:space="preserve">croplands </w:t>
      </w:r>
      <w:r w:rsidR="00341D0E" w:rsidRPr="00BD3935">
        <w:rPr>
          <w:rFonts w:ascii="Times New Roman" w:hAnsi="Times New Roman" w:cs="Times New Roman"/>
          <w:sz w:val="24"/>
          <w:szCs w:val="24"/>
        </w:rPr>
        <w:t xml:space="preserve">were </w:t>
      </w:r>
      <w:r w:rsidR="008D7C68" w:rsidRPr="00BD3935">
        <w:rPr>
          <w:rFonts w:ascii="Times New Roman" w:hAnsi="Times New Roman" w:cs="Times New Roman"/>
          <w:sz w:val="24"/>
          <w:szCs w:val="24"/>
        </w:rPr>
        <w:t>economically</w:t>
      </w:r>
      <w:r w:rsidR="00341D0E" w:rsidRPr="00BD3935">
        <w:rPr>
          <w:rFonts w:ascii="Times New Roman" w:hAnsi="Times New Roman" w:cs="Times New Roman"/>
          <w:sz w:val="24"/>
          <w:szCs w:val="24"/>
        </w:rPr>
        <w:t xml:space="preserve"> and </w:t>
      </w:r>
      <w:r w:rsidR="008D7C68" w:rsidRPr="00BD3935">
        <w:rPr>
          <w:rFonts w:ascii="Times New Roman" w:hAnsi="Times New Roman" w:cs="Times New Roman"/>
          <w:sz w:val="24"/>
          <w:szCs w:val="24"/>
        </w:rPr>
        <w:t>environmentally</w:t>
      </w:r>
      <w:r w:rsidR="00341D0E" w:rsidRPr="00BD3935">
        <w:rPr>
          <w:rFonts w:ascii="Times New Roman" w:hAnsi="Times New Roman" w:cs="Times New Roman"/>
          <w:sz w:val="24"/>
          <w:szCs w:val="24"/>
        </w:rPr>
        <w:t xml:space="preserve"> sustainable. </w:t>
      </w:r>
      <w:r w:rsidR="0028530F" w:rsidRPr="00BD3935">
        <w:rPr>
          <w:rFonts w:ascii="Times New Roman" w:hAnsi="Times New Roman" w:cs="Times New Roman"/>
          <w:sz w:val="24"/>
          <w:szCs w:val="24"/>
        </w:rPr>
        <w:t xml:space="preserve">This study will contribute to </w:t>
      </w:r>
      <w:r w:rsidR="0017592F" w:rsidRPr="00BD3935">
        <w:rPr>
          <w:rFonts w:ascii="Times New Roman" w:hAnsi="Times New Roman" w:cs="Times New Roman"/>
          <w:sz w:val="24"/>
          <w:szCs w:val="24"/>
        </w:rPr>
        <w:t>informing</w:t>
      </w:r>
      <w:r w:rsidR="0028530F" w:rsidRPr="00BD3935">
        <w:rPr>
          <w:rFonts w:ascii="Times New Roman" w:hAnsi="Times New Roman" w:cs="Times New Roman"/>
          <w:sz w:val="24"/>
          <w:szCs w:val="24"/>
        </w:rPr>
        <w:t xml:space="preserve"> the decision makers on the need </w:t>
      </w:r>
      <w:r w:rsidR="0017592F" w:rsidRPr="00BD3935">
        <w:rPr>
          <w:rFonts w:ascii="Times New Roman" w:hAnsi="Times New Roman" w:cs="Times New Roman"/>
          <w:sz w:val="24"/>
          <w:szCs w:val="24"/>
        </w:rPr>
        <w:t xml:space="preserve">to </w:t>
      </w:r>
      <w:r w:rsidR="0028530F" w:rsidRPr="00BD3935">
        <w:rPr>
          <w:rFonts w:ascii="Times New Roman" w:hAnsi="Times New Roman" w:cs="Times New Roman"/>
          <w:sz w:val="24"/>
          <w:szCs w:val="24"/>
        </w:rPr>
        <w:t xml:space="preserve">enact more agricultural policies geared towards low carbon farming. In addition to consolidating food security, the findings from the study will support the Brazilian government to implement </w:t>
      </w:r>
      <w:r w:rsidR="0017592F" w:rsidRPr="00BD3935">
        <w:rPr>
          <w:rFonts w:ascii="Times New Roman" w:hAnsi="Times New Roman" w:cs="Times New Roman"/>
          <w:sz w:val="24"/>
          <w:szCs w:val="24"/>
        </w:rPr>
        <w:t>additional</w:t>
      </w:r>
      <w:r w:rsidR="0028530F" w:rsidRPr="00BD3935">
        <w:rPr>
          <w:rFonts w:ascii="Times New Roman" w:hAnsi="Times New Roman" w:cs="Times New Roman"/>
          <w:sz w:val="24"/>
          <w:szCs w:val="24"/>
        </w:rPr>
        <w:t xml:space="preserve"> </w:t>
      </w:r>
      <w:r w:rsidR="0017592F" w:rsidRPr="00BD3935">
        <w:rPr>
          <w:rFonts w:ascii="Times New Roman" w:hAnsi="Times New Roman" w:cs="Times New Roman"/>
          <w:sz w:val="24"/>
          <w:szCs w:val="24"/>
        </w:rPr>
        <w:t>agenda</w:t>
      </w:r>
      <w:r w:rsidR="0028530F" w:rsidRPr="00BD3935">
        <w:rPr>
          <w:rFonts w:ascii="Times New Roman" w:hAnsi="Times New Roman" w:cs="Times New Roman"/>
          <w:sz w:val="24"/>
          <w:szCs w:val="24"/>
        </w:rPr>
        <w:t>s to achieve its National</w:t>
      </w:r>
      <w:r w:rsidR="0017592F" w:rsidRPr="00BD3935">
        <w:rPr>
          <w:rFonts w:ascii="Times New Roman" w:hAnsi="Times New Roman" w:cs="Times New Roman"/>
          <w:sz w:val="24"/>
          <w:szCs w:val="24"/>
        </w:rPr>
        <w:t>ly</w:t>
      </w:r>
      <w:r w:rsidR="0028530F" w:rsidRPr="00BD3935">
        <w:rPr>
          <w:rFonts w:ascii="Times New Roman" w:hAnsi="Times New Roman" w:cs="Times New Roman"/>
          <w:sz w:val="24"/>
          <w:szCs w:val="24"/>
        </w:rPr>
        <w:t xml:space="preserve"> Determined Contributions (NDCs) </w:t>
      </w:r>
      <w:r w:rsidR="00E11BE0" w:rsidRPr="00BD3935">
        <w:rPr>
          <w:rFonts w:ascii="Times New Roman" w:hAnsi="Times New Roman" w:cs="Times New Roman"/>
          <w:sz w:val="24"/>
          <w:szCs w:val="24"/>
        </w:rPr>
        <w:t xml:space="preserve">to the </w:t>
      </w:r>
      <w:r w:rsidR="00E11BE0" w:rsidRPr="00BD3935">
        <w:rPr>
          <w:rFonts w:ascii="Times New Roman" w:hAnsi="Times New Roman" w:cs="Times New Roman"/>
          <w:sz w:val="24"/>
          <w:szCs w:val="24"/>
        </w:rPr>
        <w:lastRenderedPageBreak/>
        <w:t xml:space="preserve">United Nations Framework Convention on Climate Change (UNFCCC) under the 2015 Paris Agreement </w:t>
      </w:r>
      <w:r w:rsidR="0017592F" w:rsidRPr="00BD3935">
        <w:rPr>
          <w:rFonts w:ascii="Times New Roman" w:hAnsi="Times New Roman" w:cs="Times New Roman"/>
          <w:sz w:val="24"/>
          <w:szCs w:val="24"/>
        </w:rPr>
        <w:t>for</w:t>
      </w:r>
      <w:r w:rsidR="0028530F" w:rsidRPr="00BD3935">
        <w:rPr>
          <w:rFonts w:ascii="Times New Roman" w:hAnsi="Times New Roman" w:cs="Times New Roman"/>
          <w:sz w:val="24"/>
          <w:szCs w:val="24"/>
        </w:rPr>
        <w:t xml:space="preserve"> lower CO</w:t>
      </w:r>
      <w:r w:rsidR="0028530F" w:rsidRPr="00BD3935">
        <w:rPr>
          <w:rFonts w:ascii="Times New Roman" w:hAnsi="Times New Roman" w:cs="Times New Roman"/>
          <w:sz w:val="24"/>
          <w:szCs w:val="24"/>
          <w:vertAlign w:val="subscript"/>
        </w:rPr>
        <w:t>2</w:t>
      </w:r>
      <w:r w:rsidR="0028530F" w:rsidRPr="00BD3935">
        <w:rPr>
          <w:rFonts w:ascii="Times New Roman" w:hAnsi="Times New Roman" w:cs="Times New Roman"/>
          <w:sz w:val="24"/>
          <w:szCs w:val="24"/>
        </w:rPr>
        <w:t xml:space="preserve"> emissions and climate change mitigation</w:t>
      </w:r>
      <w:r w:rsidR="0017592F" w:rsidRPr="00BD3935">
        <w:rPr>
          <w:rFonts w:ascii="Times New Roman" w:hAnsi="Times New Roman" w:cs="Times New Roman"/>
          <w:sz w:val="24"/>
          <w:szCs w:val="24"/>
        </w:rPr>
        <w:t xml:space="preserve"> though agriculture.</w:t>
      </w:r>
    </w:p>
    <w:p w14:paraId="7D1A4C33" w14:textId="6AC59026" w:rsidR="0052391C" w:rsidRPr="00BD3935" w:rsidRDefault="0052391C" w:rsidP="000E66EB">
      <w:pPr>
        <w:jc w:val="both"/>
        <w:rPr>
          <w:rFonts w:ascii="Times New Roman" w:hAnsi="Times New Roman" w:cs="Times New Roman"/>
          <w:b/>
          <w:bCs/>
          <w:sz w:val="24"/>
          <w:szCs w:val="24"/>
        </w:rPr>
      </w:pPr>
      <w:r w:rsidRPr="00BD3935">
        <w:rPr>
          <w:rFonts w:ascii="Times New Roman" w:hAnsi="Times New Roman" w:cs="Times New Roman"/>
          <w:b/>
          <w:bCs/>
          <w:sz w:val="24"/>
          <w:szCs w:val="24"/>
        </w:rPr>
        <w:t>Funding</w:t>
      </w:r>
    </w:p>
    <w:p w14:paraId="179B7504" w14:textId="0C07761C" w:rsidR="0081748A" w:rsidRPr="00BD3935" w:rsidRDefault="0052391C">
      <w:pPr>
        <w:rPr>
          <w:rFonts w:ascii="Times New Roman" w:hAnsi="Times New Roman" w:cs="Times New Roman"/>
          <w:b/>
          <w:bCs/>
          <w:sz w:val="24"/>
          <w:szCs w:val="24"/>
        </w:rPr>
      </w:pPr>
      <w:r w:rsidRPr="00BD3935">
        <w:rPr>
          <w:rFonts w:ascii="Times New Roman" w:hAnsi="Times New Roman" w:cs="Times New Roman"/>
          <w:b/>
          <w:bCs/>
          <w:sz w:val="24"/>
          <w:szCs w:val="24"/>
        </w:rPr>
        <w:t>Acknowledgements</w:t>
      </w:r>
    </w:p>
    <w:p w14:paraId="73570569" w14:textId="316E4741" w:rsidR="0052391C" w:rsidRPr="00BD3935" w:rsidRDefault="0052391C">
      <w:pPr>
        <w:rPr>
          <w:rFonts w:ascii="Times New Roman" w:hAnsi="Times New Roman" w:cs="Times New Roman"/>
          <w:sz w:val="24"/>
          <w:szCs w:val="24"/>
        </w:rPr>
      </w:pPr>
      <w:r w:rsidRPr="00BD3935">
        <w:rPr>
          <w:rFonts w:ascii="Times New Roman" w:hAnsi="Times New Roman" w:cs="Times New Roman"/>
          <w:sz w:val="24"/>
          <w:szCs w:val="24"/>
        </w:rPr>
        <w:t>The authors acknowledge the support from the PhD students and others who provided part of the data.</w:t>
      </w:r>
    </w:p>
    <w:p w14:paraId="01D5E89D" w14:textId="1EB16C7B" w:rsidR="00613545" w:rsidRPr="00BD3935" w:rsidRDefault="00613545">
      <w:pPr>
        <w:rPr>
          <w:rFonts w:ascii="Times New Roman" w:hAnsi="Times New Roman" w:cs="Times New Roman"/>
          <w:b/>
          <w:bCs/>
          <w:sz w:val="24"/>
          <w:szCs w:val="24"/>
        </w:rPr>
      </w:pPr>
      <w:r w:rsidRPr="00BD3935">
        <w:rPr>
          <w:rFonts w:ascii="Times New Roman" w:hAnsi="Times New Roman" w:cs="Times New Roman"/>
          <w:b/>
          <w:bCs/>
          <w:sz w:val="24"/>
          <w:szCs w:val="24"/>
        </w:rPr>
        <w:t>References</w:t>
      </w:r>
    </w:p>
    <w:p w14:paraId="33AEA156"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Alkimim, A., Sparovek, G. and Clarke, K.C., 2015. Converting Brazil's pastures to cropland: An alternative way to meet sugarcane demand and to spare forestlands. Applied Geography, 62, pp.75-84. https://doi.org/10.1016/j.landusepol.2016.03.005</w:t>
      </w:r>
    </w:p>
    <w:p w14:paraId="4D702434"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 xml:space="preserve">Almeida LLS, Frazão AA, Lessa TAM, Fernandes LA, Veloso ALC, Lana AMQ, de Souza, I.A., Pegoraro, R.F. and Ferreira, E.A. (2021). Soil carbono and nitrogen stocks and the quality of soil organic matter under silvopastoril sistems in the Brazilian Cerrado. Soil &amp; Tillage Res. doi: 10.1016/j.still.2020.104785 </w:t>
      </w:r>
    </w:p>
    <w:p w14:paraId="6229AF10" w14:textId="77777777" w:rsidR="00737321" w:rsidRPr="00BD3935" w:rsidRDefault="00737321" w:rsidP="00DF006C">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Arias, P.A., Rivera, J.A., Sörensson, A.A., Zachariah, M., Barnes, C., Philip, S., Kew, S., Vautard, R., Koren, G., Pinto, I. and Vahlberg, M., 2024. Interplay between climate change and climate variability: the 2022 drought in Central South America. Climatic Change, 177(1), 6. https://doi.org/10.1007/s10584-023-03664-4</w:t>
      </w:r>
    </w:p>
    <w:p w14:paraId="742DE049"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Arunrat, N., Sereenonchai, S., Kongsurakan, P., Hatano, R., 2022. Soil organic carbon and soil erodibility response to various land-use changes in northern Thailand. Catena 219, 106595. https://doi.org/10.1016/j.catena.2022.106595.</w:t>
      </w:r>
    </w:p>
    <w:p w14:paraId="1F024ACE" w14:textId="77777777" w:rsidR="00737321" w:rsidRPr="00BD3935" w:rsidRDefault="00737321" w:rsidP="00DF006C">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Black, E., 2024. Global change in agricultural flash drought over the 21st century. Advances in Atmospheric Sciences, 41(2), 209-220.</w:t>
      </w:r>
    </w:p>
    <w:p w14:paraId="35FC8519" w14:textId="77777777" w:rsidR="00737321" w:rsidRPr="00BD3935" w:rsidRDefault="00737321" w:rsidP="00375307">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Bolfe, É.L.; Victoria, D.d.C.; Sano, E.E.; Bayma, G.; Massruhá, S.M.F.S.; de Oliveira, A.F. Potential for Agricultural Expansion in Degraded Pasture Lands in Brazil Based on Geospatial Databases. Land 2024, 13, 200. https://doi.org/10.3390/land13020200</w:t>
      </w:r>
    </w:p>
    <w:p w14:paraId="338AD5C4"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Cerri, C.E.P., de Castro Mello, F.F., Renteria, N.B. and Cherubin, M.R., 2024. Public Policies and Initiatives to Promote Soil Health and Carbon Sequestration in Brazil. Soil Health and Sustainable Agriculture in Brazil, 196.</w:t>
      </w:r>
    </w:p>
    <w:p w14:paraId="70379731"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bookmarkStart w:id="16" w:name="_Hlk161928550"/>
      <w:r w:rsidRPr="00BD3935">
        <w:rPr>
          <w:rStyle w:val="Hyperlink"/>
          <w:rFonts w:ascii="Times New Roman" w:hAnsi="Times New Roman" w:cs="Times New Roman"/>
          <w:color w:val="auto"/>
          <w:sz w:val="24"/>
          <w:szCs w:val="24"/>
          <w:u w:val="none"/>
        </w:rPr>
        <w:t>Cohn, A.S., Gil, J., Berger, T., Pellegrina, H. and Toledo, C., 2016. Patterns and processes of pasture to crop conversion in Brazil: Evidence from Mato Grosso State. Land use policy, 55, pp.108-120. https://doi.org/10.1016/j.apgeog.2015.04.008</w:t>
      </w:r>
    </w:p>
    <w:p w14:paraId="1FB02E96"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CONAB (2021). Histórico da soja - Mato Grosso. SUREG/MT, Mato Grosso.</w:t>
      </w:r>
    </w:p>
    <w:p w14:paraId="44F7E6AA" w14:textId="77777777" w:rsidR="00737321" w:rsidRPr="00BD3935" w:rsidRDefault="00737321" w:rsidP="00613545">
      <w:pPr>
        <w:spacing w:line="276" w:lineRule="auto"/>
        <w:jc w:val="both"/>
        <w:rPr>
          <w:rFonts w:ascii="Times New Roman" w:hAnsi="Times New Roman" w:cs="Times New Roman"/>
          <w:sz w:val="24"/>
          <w:szCs w:val="24"/>
        </w:rPr>
      </w:pPr>
      <w:bookmarkStart w:id="17" w:name="_Hlk161924047"/>
      <w:r w:rsidRPr="00BD3935">
        <w:rPr>
          <w:rFonts w:ascii="Times New Roman" w:hAnsi="Times New Roman" w:cs="Times New Roman"/>
          <w:sz w:val="24"/>
          <w:szCs w:val="24"/>
        </w:rPr>
        <w:lastRenderedPageBreak/>
        <w:t>da Silva Souza</w:t>
      </w:r>
      <w:bookmarkEnd w:id="17"/>
      <w:r w:rsidRPr="00BD3935">
        <w:rPr>
          <w:rFonts w:ascii="Times New Roman" w:hAnsi="Times New Roman" w:cs="Times New Roman"/>
          <w:sz w:val="24"/>
          <w:szCs w:val="24"/>
        </w:rPr>
        <w:t>, C.B., da Silva Farias, P.G., Rosset, J.S., Ozório, J.M.B., Panachuki, E., Schiavo, J.A. and Lima, P.R., 2024. Chemical characterization of soil organic matter in differents management practices in the Cerrado-Pantanal ecotone. Scientia Plena, 20(1), 010201. Doi: 10.14808/sci.plena.2024.010201</w:t>
      </w:r>
    </w:p>
    <w:p w14:paraId="7558EE1B" w14:textId="77777777" w:rsidR="00737321" w:rsidRPr="00BD3935" w:rsidRDefault="00737321" w:rsidP="008528CE">
      <w:pPr>
        <w:jc w:val="both"/>
        <w:rPr>
          <w:rFonts w:ascii="Times New Roman" w:hAnsi="Times New Roman" w:cs="Times New Roman"/>
          <w:sz w:val="24"/>
          <w:szCs w:val="24"/>
        </w:rPr>
      </w:pPr>
      <w:r w:rsidRPr="00BD3935">
        <w:rPr>
          <w:rFonts w:ascii="Times New Roman" w:hAnsi="Times New Roman" w:cs="Times New Roman"/>
          <w:sz w:val="24"/>
          <w:szCs w:val="24"/>
        </w:rPr>
        <w:t>Das, D., Panesar, G., Panesar, P.S. and Kumar, M., 2024. Soybean Meal: The Reservoir of High-Quality Protein. In Oilseed Meal as a Sustainable Contributor to Plant-Based Protein: Paving the Way Towards Circular Economy and Nutritional Security (pp. 31-52). Cham: Springer International Publishing. https://doi.org/10.1007/978-3-031-47880-2_2</w:t>
      </w:r>
    </w:p>
    <w:p w14:paraId="6FB386A7"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DeFries, R.S., Foley, J.A. and Asner, G.P., 2004. Land‐use choices: Balancing human needs and ecosystem function. Frontiers in Ecology and the Environment, 2(5), pp.249-257.</w:t>
      </w:r>
    </w:p>
    <w:p w14:paraId="5541B6D1"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 xml:space="preserve">Dou, Y., Da Silva, R.F.B., Batistella, M., Torres, S., Moran, E. and Liu, J., 2023. Mapping crop producer perceptions: The role of global drivers on local agricultural land use in Brazil. Land Use Policy, 133, p.106862. </w:t>
      </w:r>
      <w:hyperlink r:id="rId12" w:history="1">
        <w:r w:rsidRPr="00BD3935">
          <w:rPr>
            <w:rStyle w:val="Hyperlink"/>
            <w:rFonts w:ascii="Times New Roman" w:hAnsi="Times New Roman" w:cs="Times New Roman"/>
            <w:color w:val="auto"/>
            <w:sz w:val="24"/>
            <w:szCs w:val="24"/>
          </w:rPr>
          <w:t>https://doi.org/10.1016/j.landusepol.2023.106862</w:t>
        </w:r>
      </w:hyperlink>
      <w:r w:rsidRPr="00BD3935">
        <w:rPr>
          <w:rFonts w:ascii="Times New Roman" w:hAnsi="Times New Roman" w:cs="Times New Roman"/>
          <w:sz w:val="24"/>
          <w:szCs w:val="24"/>
        </w:rPr>
        <w:t xml:space="preserve">. </w:t>
      </w:r>
    </w:p>
    <w:bookmarkEnd w:id="16"/>
    <w:p w14:paraId="550F5D65"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Faggian, V., Bini, C., Zilioli, D.M., 2012. Carbon stock evaluation from topsoil of forest stands in Ne Italy. Int. J. Phytoremediation 14 (4), 415–428. https://doi.org/ 10.1080/15226514.2011.620656.</w:t>
      </w:r>
    </w:p>
    <w:p w14:paraId="497ED3FE"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Falcão KS, Monteiro FN, Ozório JMB, Souza CBS, Farias PGS, Menezes RS, et al. Estoque de carbono e agregação do solo sob diferentes sistemas de uso no Cerrado. Braz J Environ Sci. 2020 Jun;55(2):242- 55. doi: 10.5327/Z2176-947820200695</w:t>
      </w:r>
    </w:p>
    <w:p w14:paraId="21978B1F" w14:textId="77777777" w:rsidR="00737321" w:rsidRPr="00BD3935" w:rsidRDefault="00737321" w:rsidP="00DF006C">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Fantoni, S., Casagli, N., Solidoro, C. and Cobal, M., 2024. Quantitative Sustainability: Interdisciplinary Research for Sustainable Development Goals (p. 187). Springer Nature. https://library.oapen.org/handle/20.500.12657/86887</w:t>
      </w:r>
    </w:p>
    <w:p w14:paraId="4DC0E18D"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FAO, 2020, FAOSTAT Statistics Database.</w:t>
      </w:r>
    </w:p>
    <w:p w14:paraId="7B99CE63"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Felicianno CA, Lopes AWP, Silva MC, Costa MBB, Ferrante VLSB. Qualidade do solo em sistemas de manejo convencional e orgânico na propriedade da agricultura familiar. Rev Interdiscipl Tecnol Educ. 2018;4(1):1-22.</w:t>
      </w:r>
    </w:p>
    <w:p w14:paraId="568FA8F2"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Funes, I., Sav´e, R., Rovira, P., Molowny-Horas, R., Alcaniz, ˜ J.M., Ascaso, E., Herms, I., Herrero, C., Boixadera, J., Vayreda, J., 2019. Agricultural soil organic carbon stocks in the north-eastern Iberian Peninsula: drivers and spatial variability. Sci. Total Environ. 668, 283–294. https://doi.org/10.1016/j.scitotenv.2019.02.317.</w:t>
      </w:r>
    </w:p>
    <w:p w14:paraId="605124DA"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Gao, H., Gong, J., Liu, J. and Ye, T., 2024. Effects of land use/cover changes on soil organic carbon stocks in Qinghai-Tibet plateau: A comparative analysis of different ecological functional areas based on machine learning methods and soil carbon pool data. Journal of Cleaner Production, 434, p.139854. https://doi.org/10.1016/j.jclepro.2023.139854</w:t>
      </w:r>
    </w:p>
    <w:p w14:paraId="23FFB057"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 xml:space="preserve">Gao, H., Gong, J., Liu, J. and Ye, T., 2024. Effects of land use/cover changes on soil organic carbon stocks in Qinghai-Tibet plateau: A comparative analysis of different ecological functional areas </w:t>
      </w:r>
      <w:r w:rsidRPr="00BD3935">
        <w:rPr>
          <w:rStyle w:val="Hyperlink"/>
          <w:rFonts w:ascii="Times New Roman" w:hAnsi="Times New Roman" w:cs="Times New Roman"/>
          <w:color w:val="auto"/>
          <w:sz w:val="24"/>
          <w:szCs w:val="24"/>
          <w:u w:val="none"/>
        </w:rPr>
        <w:lastRenderedPageBreak/>
        <w:t>based on machine learning methods and soil carbon pool data. Journal of Cleaner Production, 434, p.139854. https://doi.org/10.1016/j.jclepro.2023.139854.</w:t>
      </w:r>
    </w:p>
    <w:p w14:paraId="231CB7B9" w14:textId="77777777" w:rsidR="00737321" w:rsidRPr="00BD3935" w:rsidRDefault="00737321" w:rsidP="00613545">
      <w:pPr>
        <w:spacing w:line="276" w:lineRule="auto"/>
        <w:jc w:val="both"/>
        <w:rPr>
          <w:rFonts w:ascii="Times New Roman" w:hAnsi="Times New Roman" w:cs="Times New Roman"/>
          <w:sz w:val="24"/>
          <w:szCs w:val="24"/>
        </w:rPr>
      </w:pPr>
      <w:bookmarkStart w:id="18" w:name="_Hlk161925493"/>
      <w:r w:rsidRPr="00BD3935">
        <w:rPr>
          <w:rFonts w:ascii="Times New Roman" w:hAnsi="Times New Roman" w:cs="Times New Roman"/>
          <w:sz w:val="24"/>
          <w:szCs w:val="24"/>
        </w:rPr>
        <w:t>Gianetti</w:t>
      </w:r>
      <w:bookmarkEnd w:id="18"/>
      <w:r w:rsidRPr="00BD3935">
        <w:rPr>
          <w:rFonts w:ascii="Times New Roman" w:hAnsi="Times New Roman" w:cs="Times New Roman"/>
          <w:sz w:val="24"/>
          <w:szCs w:val="24"/>
        </w:rPr>
        <w:t>, G.W. and de Souza Ferreira Filho, J.B., 2024. Pasture recovery, emissions, and the Brazilian Paris agreement commitments. Land Use Policy, 141, p.107118. https://doi.org/10.1016/j.landusepol.2024.107118</w:t>
      </w:r>
    </w:p>
    <w:p w14:paraId="1FC0FDF0" w14:textId="77777777" w:rsidR="00737321" w:rsidRPr="00BD3935" w:rsidRDefault="00737321" w:rsidP="008528CE">
      <w:pPr>
        <w:jc w:val="both"/>
        <w:rPr>
          <w:rFonts w:ascii="Times New Roman" w:hAnsi="Times New Roman" w:cs="Times New Roman"/>
          <w:sz w:val="24"/>
          <w:szCs w:val="24"/>
        </w:rPr>
      </w:pPr>
      <w:r w:rsidRPr="00BD3935">
        <w:rPr>
          <w:rFonts w:ascii="Times New Roman" w:hAnsi="Times New Roman" w:cs="Times New Roman"/>
          <w:sz w:val="24"/>
          <w:szCs w:val="24"/>
        </w:rPr>
        <w:t>Hamza, M., Basit, A.W., Shehzadi, I., Tufail, U., Hassan, A., Hussain, T., Siddique, M.U. and Hayat, H.M., 2024. Global Impact of Soybean Production: A Review. Asian Journal of Biochemistry, Genetics and Molecular Biology, 16(2), pp.12-20. https://doi.org/10.9734/ajbgmb/2024/v16i2357</w:t>
      </w:r>
    </w:p>
    <w:p w14:paraId="49DAAFD6"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IMEA IMG de EA (2021). Boletim de soja. IMEA, Cuiabá.</w:t>
      </w:r>
    </w:p>
    <w:p w14:paraId="659881CD"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IPCC (2015). Climate Change 2014: synthesis report. Contribution of working groups I, II and III to the fifth assessment report of the intergovernmental panel on climate change [Core Writing Team, R.K. Pachauri and L.A. Meyer (eds.)]. Intergovernmental Panel on Climate Change - IPCC, Geneva, Switzerland.</w:t>
      </w:r>
    </w:p>
    <w:p w14:paraId="26B8863E"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Kitavi, E.K., Ndung’u, C.K. and Mwangi, M., 2024. The influence of intensive agriculture on soil properties and nutrient availability in Kauwi and Zombe wards of Kitui County, Kenya. East African Journal of Agriculture and Biotechnology, 7(1), pp.1-12. https://doi.org/10.37284/eajab.7.1.1680</w:t>
      </w:r>
    </w:p>
    <w:p w14:paraId="1002BA2A"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Lal R. Digging deeper: A holistic perspective of factors affecting soil organic carbon sequestration in agroecosystems. Global Chang Biol. 2018 Jan;24(8):3285-01. doi: 10.1111/gcb.14054</w:t>
      </w:r>
    </w:p>
    <w:p w14:paraId="53AC953A"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 xml:space="preserve">Lal R. Managing soils for resolving the conflict between agriculture and nature: The hard talk. Eur J Soil Sci. 2019 Jun;71(1):1-9. doi: 10.1111/ejss.12857 </w:t>
      </w:r>
    </w:p>
    <w:p w14:paraId="1EE5C636" w14:textId="77777777" w:rsidR="00737321" w:rsidRPr="00BD3935" w:rsidRDefault="00737321" w:rsidP="00DF006C">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Li, H., Keune, J., Gou, Q., Holgate, C.M. and Miralles, D., 2024. Heat and moisture anomalies during crop failure events in the Southeastern Australian wheat belt. Earth's Future, 12(3), e2023EF003901.</w:t>
      </w:r>
    </w:p>
    <w:p w14:paraId="6FF1CDEC"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Liang, S., Sun, N., Meersmans, J., Longdoz, B., Colinet, G., Xu, M. and Wu, L., 2024. Impacts of climate change on crop production and soil carbon stock in a continuous wheat cropping system in southeast England. Agriculture, Ecosystems &amp; Environment, 365,108909.</w:t>
      </w:r>
    </w:p>
    <w:p w14:paraId="2A75BB71"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Lozano-García, B., Parras-Alcantara, ´ L., Brevik, E.C., 2016. Impact of topographic aspect and vegetation (native and reforested areas) on soil organic carbon and nitrogen budgets in Mediterranean natural areas. Sci. Total Environ. 544, 963–970. https:// doi.org/10.1016/j.scitotenv.2015.12.022.</w:t>
      </w:r>
    </w:p>
    <w:p w14:paraId="01A49653"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Lu, J., Zhang, W., Li, Y., Liu, S., Khan, A., Yan, S., Hu, T., Xiong, Y., 2023. Effects of reduced tillage with stubble remaining and nitrogen application on soil aggregation, soil organic carbon and grain yield in maize-wheat rotation system. Eur. J. Agron. 149, 126920 https://doi.org/10.1016/j.eja.2023.126920.</w:t>
      </w:r>
    </w:p>
    <w:p w14:paraId="2227B171"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lastRenderedPageBreak/>
        <w:t>Luo, X.-S., Muleta, D., Hu, Z., Tang, H., Zhao, Z., Shen, S., &amp; Lee, B.-L. (2017). Inclusive development and agricultural adaptation to climate change. Current Opinion in Environmental Sustainability, 24, 78–83. https://doi.org/10.1016/j.cosust.2017.02.004</w:t>
      </w:r>
    </w:p>
    <w:p w14:paraId="67CEF3DF"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Maier, M., Weber, T.K.D., Fiedler, J., Fuß, R., Glatzel, S., Huth, V., Jordan, S., Jurasinski, G., Kutzbach, L., Schafer, ¨ K., Weymann, D., Hagemann, U., 2022. Introduction of a guideline for measurements of greenhouse gas fluxes from soils using non-steady-state chambers. J. Plant Nutr. Soil Sci. 185 (4), 447–461. https:// doi.org/10.1002/jpln.202200199.</w:t>
      </w:r>
    </w:p>
    <w:p w14:paraId="096EA3B8" w14:textId="77777777" w:rsidR="00737321" w:rsidRPr="00BD3935" w:rsidRDefault="00737321" w:rsidP="008528CE">
      <w:pPr>
        <w:jc w:val="both"/>
        <w:rPr>
          <w:rFonts w:ascii="Times New Roman" w:hAnsi="Times New Roman" w:cs="Times New Roman"/>
          <w:sz w:val="24"/>
          <w:szCs w:val="24"/>
        </w:rPr>
      </w:pPr>
      <w:r w:rsidRPr="00BD3935">
        <w:rPr>
          <w:rFonts w:ascii="Times New Roman" w:hAnsi="Times New Roman" w:cs="Times New Roman"/>
          <w:sz w:val="24"/>
          <w:szCs w:val="24"/>
        </w:rPr>
        <w:t>Majidian, P., Ghorbani, H.R. and Farajpour, M., 2024. Achieving agricultural sustainability through soybean production in Iran: Potential and challenges. Heliyon, 10(4). https://doi.org/10.1016/j.heliyon.2024.e26389</w:t>
      </w:r>
    </w:p>
    <w:p w14:paraId="748B82A3" w14:textId="77777777" w:rsidR="00737321" w:rsidRPr="00BD3935" w:rsidRDefault="00737321" w:rsidP="00613545">
      <w:pPr>
        <w:spacing w:line="276" w:lineRule="auto"/>
        <w:jc w:val="both"/>
        <w:rPr>
          <w:rFonts w:ascii="Times New Roman" w:hAnsi="Times New Roman" w:cs="Times New Roman"/>
          <w:sz w:val="24"/>
          <w:szCs w:val="24"/>
        </w:rPr>
      </w:pPr>
      <w:bookmarkStart w:id="19" w:name="_Hlk161853757"/>
      <w:r w:rsidRPr="00BD3935">
        <w:rPr>
          <w:rFonts w:ascii="Times New Roman" w:hAnsi="Times New Roman" w:cs="Times New Roman"/>
          <w:sz w:val="24"/>
          <w:szCs w:val="24"/>
        </w:rPr>
        <w:t xml:space="preserve">Margarido, M.A. and Turolla, </w:t>
      </w:r>
      <w:bookmarkEnd w:id="19"/>
      <w:r w:rsidRPr="00BD3935">
        <w:rPr>
          <w:rFonts w:ascii="Times New Roman" w:hAnsi="Times New Roman" w:cs="Times New Roman"/>
          <w:sz w:val="24"/>
          <w:szCs w:val="24"/>
        </w:rPr>
        <w:t>F.A., 2024. Brazilian soybeans: quo vadis?. Theoretical and Applied Economics, 31(1 (638), Spring), pp.137-160.</w:t>
      </w:r>
    </w:p>
    <w:p w14:paraId="271F9B48" w14:textId="77777777" w:rsidR="00737321" w:rsidRPr="00BD3935" w:rsidRDefault="00737321" w:rsidP="00B852A8">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Miranda EE de, Carvalho CA de, Oshiro OT (2017). Atribuição, ocupação e uso das terras no estado do Mato Grosso. EMBRAPA, Campinas.</w:t>
      </w:r>
    </w:p>
    <w:p w14:paraId="0294DA93"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Ni, H., Liu, C., Sun, B., Liang, Y., 2022. Response of global farmland soil organic carbon to nitrogen application over time depends on soil type. Geoderma 406, 115542. https://doi.org/10.1016/j.geoderma.2021.115542.</w:t>
      </w:r>
    </w:p>
    <w:p w14:paraId="2391DC79"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NOAA (2021). Carbon dioxide peaks near 420 parts per million at Mauna Loa observatory. https://resea rch.noaa.gov/article/ArtMID/587/ArticleID/2764/Coronavirus-response-barely-slows-rising-carbon-dioxide. Accessed Jun 9, 2021</w:t>
      </w:r>
    </w:p>
    <w:p w14:paraId="2DC3C1BC"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 xml:space="preserve">Nwaogu, C., &amp; Cherubin, M.R. (2024). Integrated agricultural systems: The 21st century nature-based solution for resolving the global FEEES challenges. Advances in Agronomy. </w:t>
      </w:r>
      <w:hyperlink r:id="rId13" w:history="1">
        <w:r w:rsidRPr="00BD3935">
          <w:rPr>
            <w:rStyle w:val="Hyperlink"/>
            <w:rFonts w:ascii="Times New Roman" w:hAnsi="Times New Roman" w:cs="Times New Roman"/>
            <w:color w:val="auto"/>
            <w:sz w:val="24"/>
            <w:szCs w:val="24"/>
          </w:rPr>
          <w:t>https://doi.org/10.1016/bs.agron.2024.02.003</w:t>
        </w:r>
      </w:hyperlink>
    </w:p>
    <w:p w14:paraId="49EC277B"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Nwaogu, C., Oti, N.N., Enaruvbe, G.O. and Cherubin, M.R., 2024. Crop-Livestock-Forest System as Nature-Based Solutions to Combating Climate Change and Achieving SDGs in Brazil. In: Leal Filho W, Nagy GJ, Ayal D (ed) Handbook of Nature-Based Solutions to Mitigation and Adaptation to Climate Change. Springer, Cham.  pp.1-30.</w:t>
      </w:r>
      <w:r w:rsidRPr="00BD3935">
        <w:t xml:space="preserve"> </w:t>
      </w:r>
      <w:r w:rsidRPr="00BD3935">
        <w:rPr>
          <w:rFonts w:ascii="Times New Roman" w:hAnsi="Times New Roman" w:cs="Times New Roman"/>
          <w:sz w:val="24"/>
          <w:szCs w:val="24"/>
        </w:rPr>
        <w:t>https://doi.org/10.1007/978-3-030-98067-2_124-1</w:t>
      </w:r>
    </w:p>
    <w:p w14:paraId="03B37FE4"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Nyarko, I.; Nwaogu, C.; Diagi, B.E.; Hájek, M. The Dynamics and Potential of Carbon Stocks as an Indicator of Sustainable Development for Forest Bioeconomy in Ghana. Forests 2024, 15, 256. https://doi.org/ 10.3390/f15020256</w:t>
      </w:r>
    </w:p>
    <w:p w14:paraId="183DF804"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 xml:space="preserve">Ozorio JMB, Rosset JS, Schiavo JA, Souza CBS, Farias PGS, Oliveira NS, et al. Physical fractions of organic matter and mineralizable soil carbon in forest fragments of the Atlantic Forest. Rev Ambient Água. 2020 Nov;15(6):1-19. doi: 10.4136/ambi-agua.2601 </w:t>
      </w:r>
    </w:p>
    <w:p w14:paraId="1C606F0C"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Pan, J., Zhang, L., He, X., Chen, X., Cui, Z., 2019. Long-term optimization of crop yield while concurrently improving soil quality. Land Degrad. Dev. 30 (8), 897–909. https://doi.org/10.1002/ldr.3276.</w:t>
      </w:r>
    </w:p>
    <w:p w14:paraId="3A90DEAD"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lastRenderedPageBreak/>
        <w:t>Parras, R., de Mendonça, G.C., da Costa, L.M., Rocha, J.R., Costa, R.C.A., Valera, C.A., Fernandes, L.F.S., Pacheco, F.A.L. and Pissarra, T.C.T., 2024. Land use footprints and policies in Brazil. Land Use Policy, 140, p.107121.  https://doi.org/10.1016/j.landusepol.2024.107121</w:t>
      </w:r>
    </w:p>
    <w:p w14:paraId="62BB58FB" w14:textId="77777777" w:rsidR="00737321" w:rsidRPr="00BD3935" w:rsidRDefault="00737321" w:rsidP="00BD1B98">
      <w:pPr>
        <w:jc w:val="both"/>
        <w:rPr>
          <w:rFonts w:ascii="Times New Roman" w:hAnsi="Times New Roman" w:cs="Times New Roman"/>
          <w:sz w:val="24"/>
          <w:szCs w:val="24"/>
        </w:rPr>
      </w:pPr>
      <w:bookmarkStart w:id="20" w:name="_Hlk162204178"/>
      <w:r w:rsidRPr="00BD3935">
        <w:rPr>
          <w:rFonts w:ascii="Times New Roman" w:hAnsi="Times New Roman" w:cs="Times New Roman"/>
          <w:sz w:val="24"/>
          <w:szCs w:val="24"/>
        </w:rPr>
        <w:t>Pathakoti</w:t>
      </w:r>
      <w:bookmarkEnd w:id="20"/>
      <w:r w:rsidRPr="00BD3935">
        <w:rPr>
          <w:rFonts w:ascii="Times New Roman" w:hAnsi="Times New Roman" w:cs="Times New Roman"/>
          <w:sz w:val="24"/>
          <w:szCs w:val="24"/>
        </w:rPr>
        <w:t xml:space="preserve"> M, Rajan KS, Kanchana AL, Santhoshi T, Mahalakshmi DV, Sujatha P, Taori A, Bothale RV, Chauhan P, Shaik I, Kumar R. Neighbouring effect of land use changes and fire emissions on atmospheric CO2 and CH4 over suburban region of India (Shadnagar). Science of The Total Environment. 2024, 23:171226.</w:t>
      </w:r>
      <w:r w:rsidRPr="00BD3935">
        <w:t xml:space="preserve"> </w:t>
      </w:r>
      <w:r w:rsidRPr="00BD3935">
        <w:rPr>
          <w:rFonts w:ascii="Times New Roman" w:hAnsi="Times New Roman" w:cs="Times New Roman"/>
          <w:sz w:val="24"/>
          <w:szCs w:val="24"/>
        </w:rPr>
        <w:t>https://doi.org/10.1016/j.scitotenv.2024.171226</w:t>
      </w:r>
    </w:p>
    <w:p w14:paraId="48516F9F"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Ramesh, T., Bolan, N.S., Kirkham, M.B., Wijesekara, H., Kanchikerimath, M., Srinivasa Rao, C., Sandeep, S., Rinklebe, J., Ok, Y.S., Choudhury, B.U., Wang, H., Tang, C., Wang, X., Song, Z., Freeman Ii, O.W., 2019. Chapter One - soil organic carbon dynamics: impact of land use changes and management practices: a review. In: Sparks, D.L. (Ed.), Advances in Agronomy. Academic Press, pp. 1–107.</w:t>
      </w:r>
    </w:p>
    <w:p w14:paraId="773409D0"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Rocha, A. and Gonçalves, E., 2024. Measuring the causal effect of no-till system adoption on Brazilian natural areas. Soil and Tillage Research, 239, p.106053.</w:t>
      </w:r>
    </w:p>
    <w:p w14:paraId="226975B6"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Samson ME, Chantigny MH, Vanasse A, Menasseri-Aubry S, Royer I, Angers DA. Management practices differently affect particulate and mineral-associated organic matter and their precursors in arable soils. Soil Biol Biochem. 2020 Sep;148:1-32. doi: 10.1016/j.soilbio.2020.107867</w:t>
      </w:r>
    </w:p>
    <w:p w14:paraId="42D5986A"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Sharma, S., Kaur, G., Singh, P., Ghuman, R.S., Singh, P. and Vyas, P., 2024. Distinct changes in soil organic matter quality, quantity and biochemical composition in response to land-use change to diverse cropping systems and agroforestry in north-western India. Agroforestry Systems, pp.1-25. https://doi.org/10.1007/s10457-024-00976-x</w:t>
      </w:r>
    </w:p>
    <w:p w14:paraId="1744F76C"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Silva AMM, Cardoso EJBN (2021). A Sustentabilidade ambiental e os serviços ecossistêmicos. Editora Appris</w:t>
      </w:r>
    </w:p>
    <w:p w14:paraId="4BD4A6B3"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Silva, R., Barioni, O. de, L.G., Hall J.A.J., Folegatti Matsuura M., Zanett Albertini T., Fernandes F.A., Moran D. (2016). Increasing beef production could lower greenhouse gas emissions in Brazil if decoupled from deforestation Nat. Clim. Change, 6 (5) (2016), pp. 493-497, 10.1038/nclimate2916</w:t>
      </w:r>
    </w:p>
    <w:p w14:paraId="380C1145" w14:textId="77777777" w:rsidR="00737321" w:rsidRPr="00BD3935" w:rsidRDefault="00737321">
      <w:pPr>
        <w:rPr>
          <w:rFonts w:ascii="Times New Roman" w:hAnsi="Times New Roman" w:cs="Times New Roman"/>
          <w:sz w:val="24"/>
          <w:szCs w:val="24"/>
        </w:rPr>
      </w:pPr>
      <w:r w:rsidRPr="00BD3935">
        <w:rPr>
          <w:rFonts w:ascii="Times New Roman" w:hAnsi="Times New Roman" w:cs="Times New Roman"/>
          <w:sz w:val="24"/>
          <w:szCs w:val="24"/>
        </w:rPr>
        <w:t xml:space="preserve">Simoes, R., Picoli, M.C., Camara, G., Maciel, A., Santos, L., Andrade, P.R., Sánchez, A., Ferreira, K. and Carvalho, A., 2020. Land use and cover maps for Mato Grosso State in Brazil from 2001 to 2017. Scientific Data, 7(1), p.34. </w:t>
      </w:r>
      <w:hyperlink r:id="rId14" w:history="1">
        <w:r w:rsidRPr="00BD3935">
          <w:rPr>
            <w:rStyle w:val="Hyperlink"/>
            <w:rFonts w:ascii="Times New Roman" w:hAnsi="Times New Roman" w:cs="Times New Roman"/>
            <w:color w:val="auto"/>
            <w:sz w:val="24"/>
            <w:szCs w:val="24"/>
          </w:rPr>
          <w:t>https://doi.org/10.1038/s41597-020-0371-4</w:t>
        </w:r>
      </w:hyperlink>
      <w:r w:rsidRPr="00BD3935">
        <w:rPr>
          <w:rFonts w:ascii="Times New Roman" w:hAnsi="Times New Roman" w:cs="Times New Roman"/>
          <w:sz w:val="24"/>
          <w:szCs w:val="24"/>
        </w:rPr>
        <w:t>.</w:t>
      </w:r>
    </w:p>
    <w:p w14:paraId="41FF61A7"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Sooryamol, K.R., Kumar, S., David Raj, A., Sankar, M. (2024). Smart Farming and Carbon Sequestration to Combat the Climate Crisis. In: Chatterjee, U., Shaw, R., Kumar, S., Raj, A.D., Das, S. (eds) Climate Crisis: Adaptive Approaches and Sustainability. Sustainable Development Goals Series. Springer, Cham. https://doi.org/10.1007/978-3-031-44397-8_16</w:t>
      </w:r>
    </w:p>
    <w:p w14:paraId="7D52187C"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lastRenderedPageBreak/>
        <w:t xml:space="preserve">Sun, J., Yang, L., Wang, X., Lun, F., Lu, M., Sun, X., Yang, P., Wu, W. and Liu, J., 2024. Workable solutions for sustainably feeding the Chinese population. Resources, Conservation and Recycling, 205, p.107530. </w:t>
      </w:r>
      <w:hyperlink r:id="rId15" w:history="1">
        <w:r w:rsidRPr="00BD3935">
          <w:rPr>
            <w:rStyle w:val="Hyperlink"/>
            <w:rFonts w:ascii="Times New Roman" w:hAnsi="Times New Roman" w:cs="Times New Roman"/>
            <w:color w:val="auto"/>
            <w:sz w:val="24"/>
            <w:szCs w:val="24"/>
          </w:rPr>
          <w:t>https://doi.org/10.1016/j.resconrec.2024.107530</w:t>
        </w:r>
      </w:hyperlink>
      <w:r w:rsidRPr="00BD3935">
        <w:rPr>
          <w:rFonts w:ascii="Times New Roman" w:hAnsi="Times New Roman" w:cs="Times New Roman"/>
          <w:sz w:val="24"/>
          <w:szCs w:val="24"/>
        </w:rPr>
        <w:t xml:space="preserve">. </w:t>
      </w:r>
    </w:p>
    <w:p w14:paraId="51823E90"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 xml:space="preserve">Teodoro, P.E., Rossi, F.S., Teodoro, L.P.R., Santana, D.C., Ratke, R.F., de Oliveira, I.C., Della Silva, J.L., de Oliveira, J.L.G., da Silva, N.P., Baio, F.H.R. and Torres, F.E., 2024. Soil CO2 emissions under different land-use managements in Mato Grosso do Sul, Brazil. Journal of Cleaner Production, 434, p.139983. </w:t>
      </w:r>
      <w:hyperlink r:id="rId16" w:history="1">
        <w:r w:rsidRPr="00BD3935">
          <w:rPr>
            <w:rStyle w:val="Hyperlink"/>
            <w:rFonts w:ascii="Times New Roman" w:hAnsi="Times New Roman" w:cs="Times New Roman"/>
            <w:color w:val="auto"/>
            <w:sz w:val="24"/>
            <w:szCs w:val="24"/>
          </w:rPr>
          <w:t>https://doi.org/10.1016/j.jclepro.2023.139983</w:t>
        </w:r>
      </w:hyperlink>
      <w:r w:rsidRPr="00BD3935">
        <w:rPr>
          <w:rFonts w:ascii="Times New Roman" w:hAnsi="Times New Roman" w:cs="Times New Roman"/>
          <w:sz w:val="24"/>
          <w:szCs w:val="24"/>
        </w:rPr>
        <w:t xml:space="preserve"> </w:t>
      </w:r>
    </w:p>
    <w:p w14:paraId="0CA6FB59"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Teodoro, P.E., Rossi, F.S., Teodoro, L.P.R., Santana, D.C., Ratke, R.F., de Oliveira, I.C., Della Silva, J.L., de Oliveira, J.L.G., da Silva, N.P., Baio, F.H.R. and Torres, F.E., 2024. Soil CO2 emissions under different land-use managements in Mato Grosso do Sul, Brazil. Journal of Cleaner Production, 434, p.139983. https://doi.org/10.1016/j.jclepro.2023.139983</w:t>
      </w:r>
    </w:p>
    <w:p w14:paraId="7D05416C" w14:textId="77777777" w:rsidR="00737321" w:rsidRPr="00BD3935" w:rsidRDefault="00737321" w:rsidP="0061354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Toloi, M.N.V., Bonilla, S.H., Toloi, R.C. and de Alencar Nääs, I., (2024). Potential for carbon sequestration in different biomes and CO2 emissions in soybean crop. Environment, Development and Sustainability, 26:3331–3347. https://doi.org/10.1007/s10668-022-02824-3.</w:t>
      </w:r>
    </w:p>
    <w:p w14:paraId="4DABC000"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Toloi, M.NV, Bonilla SH, Toloi RC, de Alencar Nääs I. (2022). Potential for carbon sequestration in different biomes and CO</w:t>
      </w:r>
      <w:r w:rsidRPr="00BD3935">
        <w:rPr>
          <w:rFonts w:ascii="Times New Roman" w:hAnsi="Times New Roman" w:cs="Times New Roman"/>
          <w:sz w:val="24"/>
          <w:szCs w:val="24"/>
          <w:vertAlign w:val="subscript"/>
        </w:rPr>
        <w:t>2</w:t>
      </w:r>
      <w:r w:rsidRPr="00BD3935">
        <w:rPr>
          <w:rFonts w:ascii="Times New Roman" w:hAnsi="Times New Roman" w:cs="Times New Roman"/>
          <w:sz w:val="24"/>
          <w:szCs w:val="24"/>
        </w:rPr>
        <w:t xml:space="preserve"> emissions in soybean crop. https://doi.org/10.1007/s10668-022-02824-3 1 3</w:t>
      </w:r>
    </w:p>
    <w:p w14:paraId="50F18BE7" w14:textId="77777777" w:rsidR="00737321" w:rsidRPr="00BD3935" w:rsidRDefault="00737321" w:rsidP="00A23FD5">
      <w:pPr>
        <w:spacing w:line="276" w:lineRule="auto"/>
        <w:jc w:val="both"/>
        <w:rPr>
          <w:rFonts w:ascii="Times New Roman" w:hAnsi="Times New Roman" w:cs="Times New Roman"/>
          <w:sz w:val="24"/>
          <w:szCs w:val="24"/>
        </w:rPr>
      </w:pPr>
      <w:r w:rsidRPr="00BD3935">
        <w:rPr>
          <w:rFonts w:ascii="Times New Roman" w:hAnsi="Times New Roman" w:cs="Times New Roman"/>
          <w:sz w:val="24"/>
          <w:szCs w:val="24"/>
        </w:rPr>
        <w:t>USDA (2021). World Agricultural Production. https:// apps. fas. usda. gov/ psdon line/ circu lars/ produ ction. pdf. Access 20 March 2024.</w:t>
      </w:r>
    </w:p>
    <w:p w14:paraId="5D90F6D5" w14:textId="77777777" w:rsidR="00737321" w:rsidRPr="00BD3935" w:rsidRDefault="00737321" w:rsidP="00BD1B98">
      <w:pPr>
        <w:jc w:val="both"/>
        <w:rPr>
          <w:rFonts w:ascii="Times New Roman" w:hAnsi="Times New Roman" w:cs="Times New Roman"/>
          <w:sz w:val="24"/>
          <w:szCs w:val="24"/>
        </w:rPr>
      </w:pPr>
      <w:r w:rsidRPr="00BD3935">
        <w:rPr>
          <w:rFonts w:ascii="Times New Roman" w:hAnsi="Times New Roman" w:cs="Times New Roman"/>
          <w:sz w:val="24"/>
          <w:szCs w:val="24"/>
        </w:rPr>
        <w:t>Wulanningtyas HS, Gong Y, Li P, Sakagami N, Nishiwaki J, Komatsuzaki M. A cover crop and notillage system for enhancing soil health by increasing soil organic matter in soybean cultivation. Soil Tillage &amp; Res. 2021 Jan;205:1-14. doi: 10.1016/j.still.2020.104749</w:t>
      </w:r>
    </w:p>
    <w:p w14:paraId="1D5A2206" w14:textId="77777777" w:rsidR="00737321" w:rsidRPr="00BD3935" w:rsidRDefault="00737321" w:rsidP="00737321">
      <w:pPr>
        <w:spacing w:line="276" w:lineRule="auto"/>
        <w:jc w:val="both"/>
        <w:rPr>
          <w:rStyle w:val="Hyperlink"/>
          <w:rFonts w:ascii="Times New Roman" w:hAnsi="Times New Roman" w:cs="Times New Roman"/>
          <w:color w:val="auto"/>
          <w:sz w:val="24"/>
          <w:szCs w:val="24"/>
          <w:u w:val="none"/>
        </w:rPr>
      </w:pPr>
      <w:r w:rsidRPr="00BD3935">
        <w:rPr>
          <w:rStyle w:val="Hyperlink"/>
          <w:rFonts w:ascii="Times New Roman" w:hAnsi="Times New Roman" w:cs="Times New Roman"/>
          <w:color w:val="auto"/>
          <w:sz w:val="24"/>
          <w:szCs w:val="24"/>
          <w:u w:val="none"/>
        </w:rPr>
        <w:t>Zhang, T., Li, Y. and Wang, M., 2024. Remote sensing-based prediction of organic carbon in agricultural and natural soils influenced by salt and sand mining using machine learning. Journal of Environmental Management, 352, p.120107. https://doi.org/10.1016/j.jenvman.2024.120107</w:t>
      </w:r>
    </w:p>
    <w:p w14:paraId="25D7EF16" w14:textId="2DCC3904" w:rsidR="00737321" w:rsidRDefault="00737321" w:rsidP="00613545">
      <w:pPr>
        <w:spacing w:line="276" w:lineRule="auto"/>
        <w:jc w:val="both"/>
        <w:rPr>
          <w:rFonts w:ascii="Times New Roman" w:hAnsi="Times New Roman" w:cs="Times New Roman"/>
          <w:sz w:val="24"/>
          <w:szCs w:val="24"/>
        </w:rPr>
      </w:pPr>
      <w:bookmarkStart w:id="21" w:name="_Hlk161928352"/>
      <w:r w:rsidRPr="00BD3935">
        <w:rPr>
          <w:rFonts w:ascii="Times New Roman" w:hAnsi="Times New Roman" w:cs="Times New Roman"/>
          <w:sz w:val="24"/>
          <w:szCs w:val="24"/>
        </w:rPr>
        <w:t xml:space="preserve">Zomer, </w:t>
      </w:r>
      <w:bookmarkEnd w:id="21"/>
      <w:r w:rsidRPr="00BD3935">
        <w:rPr>
          <w:rFonts w:ascii="Times New Roman" w:hAnsi="Times New Roman" w:cs="Times New Roman"/>
          <w:sz w:val="24"/>
          <w:szCs w:val="24"/>
        </w:rPr>
        <w:t xml:space="preserve">R.J., Bossio, D.A., Sommer, R., Verchot, L.V., Global Sequestration Potential of Increased Organic Carbon in Cropland Soils. Sci Rep 7, 15554 (2017). </w:t>
      </w:r>
      <w:hyperlink r:id="rId17" w:history="1">
        <w:r w:rsidR="000436BC" w:rsidRPr="00433137">
          <w:rPr>
            <w:rStyle w:val="Hyperlink"/>
            <w:rFonts w:ascii="Times New Roman" w:hAnsi="Times New Roman" w:cs="Times New Roman"/>
            <w:sz w:val="24"/>
            <w:szCs w:val="24"/>
          </w:rPr>
          <w:t>https://doi.org/10.1038/s41598-017-15794-8</w:t>
        </w:r>
      </w:hyperlink>
    </w:p>
    <w:p w14:paraId="54BF7DA4" w14:textId="77777777" w:rsidR="000436BC" w:rsidRDefault="000436BC" w:rsidP="00613545">
      <w:pPr>
        <w:spacing w:line="276" w:lineRule="auto"/>
        <w:jc w:val="both"/>
        <w:rPr>
          <w:rFonts w:ascii="Times New Roman" w:hAnsi="Times New Roman" w:cs="Times New Roman"/>
          <w:sz w:val="24"/>
          <w:szCs w:val="24"/>
        </w:rPr>
      </w:pPr>
    </w:p>
    <w:p w14:paraId="289C8744" w14:textId="77777777" w:rsidR="000436BC" w:rsidRDefault="000436BC" w:rsidP="00613545">
      <w:pPr>
        <w:spacing w:line="276" w:lineRule="auto"/>
        <w:jc w:val="both"/>
        <w:rPr>
          <w:rFonts w:ascii="Times New Roman" w:hAnsi="Times New Roman" w:cs="Times New Roman"/>
          <w:sz w:val="24"/>
          <w:szCs w:val="24"/>
        </w:rPr>
      </w:pPr>
    </w:p>
    <w:p w14:paraId="08FD8DA3" w14:textId="77777777" w:rsidR="000436BC" w:rsidRDefault="000436BC" w:rsidP="00613545">
      <w:pPr>
        <w:spacing w:line="276" w:lineRule="auto"/>
        <w:jc w:val="both"/>
        <w:rPr>
          <w:rFonts w:ascii="Times New Roman" w:hAnsi="Times New Roman" w:cs="Times New Roman"/>
          <w:sz w:val="24"/>
          <w:szCs w:val="24"/>
        </w:rPr>
      </w:pPr>
    </w:p>
    <w:p w14:paraId="6FA1952D" w14:textId="77777777" w:rsidR="000436BC" w:rsidRDefault="000436BC" w:rsidP="00613545">
      <w:pPr>
        <w:spacing w:line="276" w:lineRule="auto"/>
        <w:jc w:val="both"/>
        <w:rPr>
          <w:rFonts w:ascii="Times New Roman" w:hAnsi="Times New Roman" w:cs="Times New Roman"/>
          <w:sz w:val="24"/>
          <w:szCs w:val="24"/>
        </w:rPr>
      </w:pPr>
    </w:p>
    <w:p w14:paraId="76E9005E" w14:textId="77777777" w:rsidR="000436BC" w:rsidRDefault="000436BC" w:rsidP="00613545">
      <w:pPr>
        <w:spacing w:line="276" w:lineRule="auto"/>
        <w:jc w:val="both"/>
        <w:rPr>
          <w:rFonts w:ascii="Times New Roman" w:hAnsi="Times New Roman" w:cs="Times New Roman"/>
          <w:sz w:val="24"/>
          <w:szCs w:val="24"/>
        </w:rPr>
      </w:pPr>
    </w:p>
    <w:p w14:paraId="584F0D3C" w14:textId="77777777" w:rsidR="000436BC" w:rsidRDefault="000436BC" w:rsidP="00613545">
      <w:pPr>
        <w:spacing w:line="276" w:lineRule="auto"/>
        <w:jc w:val="both"/>
        <w:rPr>
          <w:rFonts w:ascii="Times New Roman" w:hAnsi="Times New Roman" w:cs="Times New Roman"/>
          <w:sz w:val="24"/>
          <w:szCs w:val="24"/>
        </w:rPr>
      </w:pPr>
    </w:p>
    <w:p w14:paraId="53662514" w14:textId="7B563EDB" w:rsidR="000436BC" w:rsidRDefault="000436BC" w:rsidP="00613545">
      <w:pPr>
        <w:spacing w:line="276" w:lineRule="auto"/>
        <w:jc w:val="both"/>
        <w:rPr>
          <w:rFonts w:ascii="Times New Roman" w:hAnsi="Times New Roman" w:cs="Times New Roman"/>
          <w:b/>
          <w:bCs/>
          <w:sz w:val="24"/>
          <w:szCs w:val="24"/>
        </w:rPr>
      </w:pPr>
      <w:r w:rsidRPr="000436BC">
        <w:rPr>
          <w:rFonts w:ascii="Times New Roman" w:hAnsi="Times New Roman" w:cs="Times New Roman"/>
          <w:b/>
          <w:bCs/>
          <w:sz w:val="24"/>
          <w:szCs w:val="24"/>
        </w:rPr>
        <w:lastRenderedPageBreak/>
        <w:t>Requirements</w:t>
      </w:r>
    </w:p>
    <w:p w14:paraId="2A4B4623" w14:textId="566CBB2C" w:rsidR="00BA42E0" w:rsidRPr="00BA42E0" w:rsidRDefault="00BA42E0" w:rsidP="00613545">
      <w:pPr>
        <w:spacing w:line="276" w:lineRule="auto"/>
        <w:jc w:val="both"/>
        <w:rPr>
          <w:rFonts w:ascii="Times New Roman" w:hAnsi="Times New Roman" w:cs="Times New Roman"/>
          <w:sz w:val="24"/>
          <w:szCs w:val="24"/>
        </w:rPr>
      </w:pPr>
      <w:r w:rsidRPr="00BA42E0">
        <w:rPr>
          <w:rFonts w:ascii="Times New Roman" w:hAnsi="Times New Roman" w:cs="Times New Roman"/>
          <w:sz w:val="24"/>
          <w:szCs w:val="24"/>
        </w:rPr>
        <w:t>Add the 1990 information to that table</w:t>
      </w:r>
    </w:p>
    <w:p w14:paraId="0A0CFFB7" w14:textId="59D4B669" w:rsidR="000436BC" w:rsidRDefault="000436BC" w:rsidP="00613545">
      <w:pPr>
        <w:spacing w:line="276" w:lineRule="auto"/>
        <w:jc w:val="both"/>
        <w:rPr>
          <w:rFonts w:ascii="Times New Roman" w:hAnsi="Times New Roman" w:cs="Times New Roman"/>
          <w:sz w:val="24"/>
          <w:szCs w:val="24"/>
        </w:rPr>
      </w:pPr>
      <w:r>
        <w:rPr>
          <w:rFonts w:ascii="Times New Roman" w:hAnsi="Times New Roman" w:cs="Times New Roman"/>
          <w:sz w:val="24"/>
          <w:szCs w:val="24"/>
        </w:rPr>
        <w:t>Add LU</w:t>
      </w:r>
      <w:r w:rsidR="00BA42E0">
        <w:rPr>
          <w:rFonts w:ascii="Times New Roman" w:hAnsi="Times New Roman" w:cs="Times New Roman"/>
          <w:sz w:val="24"/>
          <w:szCs w:val="24"/>
        </w:rPr>
        <w:t xml:space="preserve">LC </w:t>
      </w:r>
      <w:r>
        <w:rPr>
          <w:rFonts w:ascii="Times New Roman" w:hAnsi="Times New Roman" w:cs="Times New Roman"/>
          <w:sz w:val="24"/>
          <w:szCs w:val="24"/>
        </w:rPr>
        <w:t>for 1990</w:t>
      </w:r>
    </w:p>
    <w:p w14:paraId="6882E0A2" w14:textId="5EDD7EDB" w:rsidR="000436BC" w:rsidRDefault="000436BC" w:rsidP="00613545">
      <w:pPr>
        <w:spacing w:line="276" w:lineRule="auto"/>
        <w:jc w:val="both"/>
        <w:rPr>
          <w:rFonts w:ascii="Times New Roman" w:hAnsi="Times New Roman" w:cs="Times New Roman"/>
          <w:sz w:val="24"/>
          <w:szCs w:val="24"/>
        </w:rPr>
      </w:pPr>
      <w:r>
        <w:rPr>
          <w:rFonts w:ascii="Times New Roman" w:hAnsi="Times New Roman" w:cs="Times New Roman"/>
          <w:sz w:val="24"/>
          <w:szCs w:val="24"/>
        </w:rPr>
        <w:t>SOC map for 1990</w:t>
      </w:r>
    </w:p>
    <w:p w14:paraId="4057820D" w14:textId="2C6E83F3" w:rsidR="00BA42E0" w:rsidRPr="001430AF" w:rsidRDefault="00BA42E0" w:rsidP="00BA42E0">
      <w:pPr>
        <w:spacing w:line="276" w:lineRule="auto"/>
        <w:jc w:val="both"/>
        <w:rPr>
          <w:rFonts w:ascii="Times New Roman" w:hAnsi="Times New Roman" w:cs="Times New Roman"/>
          <w:color w:val="FF0000"/>
          <w:sz w:val="24"/>
          <w:szCs w:val="24"/>
        </w:rPr>
      </w:pPr>
      <w:r w:rsidRPr="001430AF">
        <w:rPr>
          <w:rFonts w:ascii="Times New Roman" w:hAnsi="Times New Roman" w:cs="Times New Roman"/>
          <w:color w:val="FF0000"/>
          <w:sz w:val="24"/>
          <w:szCs w:val="24"/>
        </w:rPr>
        <w:t>Predicting Soil Organic Carbon (SOC) for the year 2050 involves leveraging historical SOC data from 1990 and 2020, alongside various environmental parameters such as slope(</w:t>
      </w:r>
      <w:r w:rsidRPr="001430AF">
        <w:rPr>
          <w:rFonts w:ascii="Cambria Math" w:hAnsi="Cambria Math" w:cs="Cambria Math"/>
          <w:color w:val="FF0000"/>
          <w:sz w:val="24"/>
          <w:szCs w:val="24"/>
        </w:rPr>
        <w:t>𝑥1</w:t>
      </w:r>
      <w:r w:rsidRPr="001430AF">
        <w:rPr>
          <w:rFonts w:ascii="Times New Roman" w:hAnsi="Times New Roman" w:cs="Times New Roman"/>
          <w:color w:val="FF0000"/>
          <w:sz w:val="24"/>
          <w:szCs w:val="24"/>
        </w:rPr>
        <w:t>​), elevation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 xml:space="preserve">2​), </w:t>
      </w:r>
      <w:r w:rsidR="00CF255F" w:rsidRPr="001430AF">
        <w:rPr>
          <w:rFonts w:ascii="Times New Roman" w:hAnsi="Times New Roman" w:cs="Times New Roman"/>
          <w:color w:val="FF0000"/>
          <w:sz w:val="24"/>
          <w:szCs w:val="24"/>
        </w:rPr>
        <w:t xml:space="preserve">Land Cover </w:t>
      </w:r>
      <w:r w:rsidRPr="001430AF">
        <w:rPr>
          <w:rFonts w:ascii="Times New Roman" w:hAnsi="Times New Roman" w:cs="Times New Roman"/>
          <w:color w:val="FF0000"/>
          <w:sz w:val="24"/>
          <w:szCs w:val="24"/>
        </w:rPr>
        <w:t xml:space="preserve"> (LC)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3​), bare soil index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4), rainfall (</w:t>
      </w:r>
      <w:r w:rsidRPr="001430AF">
        <w:rPr>
          <w:rFonts w:ascii="Cambria Math" w:hAnsi="Cambria Math" w:cs="Cambria Math"/>
          <w:color w:val="FF0000"/>
          <w:sz w:val="24"/>
          <w:szCs w:val="24"/>
        </w:rPr>
        <w:t>𝑥5</w:t>
      </w:r>
      <w:r w:rsidRPr="001430AF">
        <w:rPr>
          <w:rFonts w:ascii="Times New Roman" w:hAnsi="Times New Roman" w:cs="Times New Roman"/>
          <w:color w:val="FF0000"/>
          <w:sz w:val="24"/>
          <w:szCs w:val="24"/>
        </w:rPr>
        <w:t xml:space="preserve">​) </w:t>
      </w:r>
      <w:r w:rsidR="00CF255F" w:rsidRPr="001430AF">
        <w:rPr>
          <w:rFonts w:ascii="Times New Roman" w:hAnsi="Times New Roman" w:cs="Times New Roman"/>
          <w:color w:val="FF0000"/>
          <w:sz w:val="24"/>
          <w:szCs w:val="24"/>
        </w:rPr>
        <w:t>, Land Surface Temperature (LST)</w:t>
      </w:r>
      <w:r w:rsidRPr="001430AF">
        <w:rPr>
          <w:rFonts w:ascii="Times New Roman" w:hAnsi="Times New Roman" w:cs="Times New Roman"/>
          <w:color w:val="FF0000"/>
          <w:sz w:val="24"/>
          <w:szCs w:val="24"/>
        </w:rPr>
        <w:t xml:space="preserve">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6) , and NDVI (Normalized Difference Vegetation Index)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37). Utilizing a Random Forest model, we aim to capture the intricate relationships between these parameters and SOC dynamics to forecast SOC levels for the future.</w:t>
      </w:r>
    </w:p>
    <w:p w14:paraId="5FD06321" w14:textId="1E7260FF" w:rsidR="001430AF" w:rsidRPr="001430AF" w:rsidRDefault="001430AF" w:rsidP="00BA42E0">
      <w:pPr>
        <w:spacing w:line="276" w:lineRule="auto"/>
        <w:jc w:val="both"/>
        <w:rPr>
          <w:rFonts w:ascii="Times New Roman" w:hAnsi="Times New Roman" w:cs="Times New Roman"/>
          <w:color w:val="FF0000"/>
          <w:sz w:val="24"/>
          <w:szCs w:val="24"/>
        </w:rPr>
      </w:pPr>
      <w:r w:rsidRPr="001430AF">
        <w:rPr>
          <w:rFonts w:ascii="Times New Roman" w:hAnsi="Times New Roman" w:cs="Times New Roman"/>
          <w:color w:val="FF0000"/>
          <w:sz w:val="24"/>
          <w:szCs w:val="24"/>
        </w:rPr>
        <w:t>The scientific inquiry begins with the meticulous collection and preparation of data. Soil Organic Carbon (SOC) measurements spanning 1990 and 2020 constitute the focal point of our investigation. In the absence of comprehensive statewide data, we meticulously utilize measurements gathered at various points to model the relationship and predict SOC dynamics for these two pivotal years. By employing advanced statistical methodologies and machine learning, we analyze the interplay between SOC and environmental parameters to derive robust insights for both 1990 and 2020. Subsequently, armed with the results and analytical findings from these pivotal years, we extend our analysis to forecast SOC dynamics for the year 2050. This sequential approach, rooted in empirical data and methodological rigor, ensures the reliability and robustness of our scientific inquiry into the dynamics of Soil Organic Carbon over time.</w:t>
      </w:r>
    </w:p>
    <w:p w14:paraId="2C1A8F90" w14:textId="6CD0E86E" w:rsidR="00BA42E0" w:rsidRPr="001430AF" w:rsidRDefault="00BA42E0" w:rsidP="00BA42E0">
      <w:pPr>
        <w:spacing w:line="276" w:lineRule="auto"/>
        <w:jc w:val="both"/>
        <w:rPr>
          <w:rFonts w:ascii="Times New Roman" w:hAnsi="Times New Roman" w:cs="Times New Roman"/>
          <w:color w:val="FF0000"/>
          <w:sz w:val="24"/>
          <w:szCs w:val="24"/>
        </w:rPr>
      </w:pPr>
      <w:r w:rsidRPr="001430AF">
        <w:rPr>
          <w:rFonts w:ascii="Times New Roman" w:hAnsi="Times New Roman" w:cs="Times New Roman"/>
          <w:color w:val="FF0000"/>
          <w:sz w:val="24"/>
          <w:szCs w:val="24"/>
        </w:rPr>
        <w:t>Mathematically, the prediction for a new sample (</w:t>
      </w:r>
      <w:r w:rsidRPr="001430AF">
        <w:rPr>
          <w:rFonts w:ascii="Cambria Math" w:hAnsi="Cambria Math" w:cs="Cambria Math"/>
          <w:color w:val="FF0000"/>
          <w:sz w:val="24"/>
          <w:szCs w:val="24"/>
        </w:rPr>
        <w:t>𝑥</w:t>
      </w:r>
      <w:r w:rsidRPr="001430AF">
        <w:rPr>
          <w:rFonts w:ascii="Times New Roman" w:hAnsi="Times New Roman" w:cs="Times New Roman"/>
          <w:color w:val="FF0000"/>
          <w:sz w:val="24"/>
          <w:szCs w:val="24"/>
        </w:rPr>
        <w:t>​) using Random Forest regression can be calculated as follows:</w:t>
      </w:r>
    </w:p>
    <w:p w14:paraId="0FB2A453" w14:textId="4940FB65" w:rsidR="00BA42E0" w:rsidRPr="00BA42E0" w:rsidRDefault="00BA42E0" w:rsidP="00BA42E0">
      <w:pPr>
        <w:spacing w:before="300" w:after="300" w:line="240" w:lineRule="auto"/>
        <w:rPr>
          <w:rFonts w:ascii="Times New Roman" w:eastAsia="Times New Roman" w:hAnsi="Times New Roman" w:cs="Times New Roman"/>
          <w:color w:val="FF0000"/>
          <w:kern w:val="0"/>
          <w:sz w:val="24"/>
          <w:szCs w:val="24"/>
          <w14:ligatures w14:val="none"/>
        </w:rPr>
      </w:pPr>
      <w:r w:rsidRPr="001430AF">
        <w:rPr>
          <w:rFonts w:ascii="Times New Roman" w:eastAsia="Times New Roman" w:hAnsi="Times New Roman" w:cs="Times New Roman"/>
          <w:color w:val="FF0000"/>
          <w:kern w:val="0"/>
          <w:sz w:val="29"/>
          <w:szCs w:val="29"/>
          <w:bdr w:val="single" w:sz="2" w:space="0" w:color="E3E3E3" w:frame="1"/>
          <w14:ligatures w14:val="none"/>
        </w:rPr>
        <w:t>y</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0"/>
          <w:szCs w:val="20"/>
          <w:bdr w:val="single" w:sz="2" w:space="0" w:color="E3E3E3" w:frame="1"/>
          <w14:ligatures w14:val="none"/>
        </w:rPr>
        <w:t>N</w:t>
      </w:r>
      <w:r w:rsidRPr="00BA42E0">
        <w:rPr>
          <w:rFonts w:ascii="Times New Roman" w:eastAsia="Times New Roman" w:hAnsi="Times New Roman" w:cs="Times New Roman"/>
          <w:color w:val="FF0000"/>
          <w:kern w:val="0"/>
          <w:sz w:val="20"/>
          <w:szCs w:val="20"/>
          <w:bdr w:val="single" w:sz="2" w:space="0" w:color="E3E3E3" w:frame="1"/>
          <w14:ligatures w14:val="none"/>
        </w:rPr>
        <w:t>1</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0"/>
          <w:szCs w:val="20"/>
          <w:bdr w:val="single" w:sz="2" w:space="0" w:color="E3E3E3" w:frame="1"/>
          <w14:ligatures w14:val="none"/>
        </w:rPr>
        <w:t>i</w:t>
      </w:r>
      <w:r w:rsidRPr="00BA42E0">
        <w:rPr>
          <w:rFonts w:ascii="Times New Roman" w:eastAsia="Times New Roman" w:hAnsi="Times New Roman" w:cs="Times New Roman"/>
          <w:color w:val="FF0000"/>
          <w:kern w:val="0"/>
          <w:sz w:val="20"/>
          <w:szCs w:val="20"/>
          <w:bdr w:val="single" w:sz="2" w:space="0" w:color="E3E3E3" w:frame="1"/>
          <w14:ligatures w14:val="none"/>
        </w:rPr>
        <w:t>=1</w:t>
      </w:r>
      <w:r w:rsidRPr="00BA42E0">
        <w:rPr>
          <w:rFonts w:ascii="Times New Roman" w:eastAsia="Times New Roman" w:hAnsi="Times New Roman" w:cs="Times New Roman"/>
          <w:i/>
          <w:iCs/>
          <w:color w:val="FF0000"/>
          <w:kern w:val="0"/>
          <w:sz w:val="20"/>
          <w:szCs w:val="20"/>
          <w:bdr w:val="single" w:sz="2" w:space="0" w:color="E3E3E3" w:frame="1"/>
          <w14:ligatures w14:val="none"/>
        </w:rPr>
        <w:t>N</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T</w:t>
      </w:r>
      <w:r w:rsidRPr="00BA42E0">
        <w:rPr>
          <w:rFonts w:ascii="Times New Roman" w:eastAsia="Times New Roman" w:hAnsi="Times New Roman" w:cs="Times New Roman"/>
          <w:i/>
          <w:iCs/>
          <w:color w:val="FF0000"/>
          <w:kern w:val="0"/>
          <w:sz w:val="20"/>
          <w:szCs w:val="20"/>
          <w:bdr w:val="single" w:sz="2" w:space="0" w:color="E3E3E3" w:frame="1"/>
          <w14:ligatures w14:val="none"/>
        </w:rPr>
        <w:t>i</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9"/>
          <w:szCs w:val="29"/>
          <w:bdr w:val="single" w:sz="2" w:space="0" w:color="E3E3E3" w:frame="1"/>
          <w14:ligatures w14:val="none"/>
        </w:rPr>
        <w:t>)</w:t>
      </w:r>
    </w:p>
    <w:p w14:paraId="5356BAA0" w14:textId="77777777" w:rsidR="00BA42E0" w:rsidRPr="00BA42E0" w:rsidRDefault="00BA42E0" w:rsidP="00BA42E0">
      <w:pPr>
        <w:numPr>
          <w:ilvl w:val="0"/>
          <w:numId w:val="8"/>
        </w:numPr>
        <w:spacing w:after="0" w:line="240" w:lineRule="auto"/>
        <w:rPr>
          <w:rFonts w:ascii="Times New Roman" w:eastAsia="Times New Roman" w:hAnsi="Times New Roman" w:cs="Times New Roman"/>
          <w:color w:val="FF0000"/>
          <w:kern w:val="0"/>
          <w:sz w:val="24"/>
          <w:szCs w:val="24"/>
          <w14:ligatures w14:val="none"/>
        </w:rPr>
      </w:pPr>
      <w:r w:rsidRPr="00BA42E0">
        <w:rPr>
          <w:rFonts w:ascii="Cambria Math" w:eastAsia="Times New Roman" w:hAnsi="Cambria Math" w:cs="Cambria Math"/>
          <w:color w:val="FF0000"/>
          <w:kern w:val="0"/>
          <w:sz w:val="29"/>
          <w:szCs w:val="29"/>
          <w:bdr w:val="none" w:sz="0" w:space="0" w:color="auto" w:frame="1"/>
          <w14:ligatures w14:val="none"/>
        </w:rPr>
        <w:t>𝑦</w:t>
      </w:r>
      <w:r w:rsidRPr="00BA42E0">
        <w:rPr>
          <w:rFonts w:ascii="Times New Roman" w:eastAsia="Times New Roman" w:hAnsi="Times New Roman" w:cs="Times New Roman"/>
          <w:color w:val="FF0000"/>
          <w:kern w:val="0"/>
          <w:sz w:val="29"/>
          <w:szCs w:val="29"/>
          <w:bdr w:val="none" w:sz="0" w:space="0" w:color="auto" w:frame="1"/>
          <w14:ligatures w14:val="none"/>
        </w:rPr>
        <w:t>^(</w:t>
      </w:r>
      <w:r w:rsidRPr="00BA42E0">
        <w:rPr>
          <w:rFonts w:ascii="Cambria Math" w:eastAsia="Times New Roman" w:hAnsi="Cambria Math" w:cs="Cambria Math"/>
          <w:color w:val="FF0000"/>
          <w:kern w:val="0"/>
          <w:sz w:val="29"/>
          <w:szCs w:val="29"/>
          <w:bdr w:val="none" w:sz="0" w:space="0" w:color="auto" w:frame="1"/>
          <w14:ligatures w14:val="none"/>
        </w:rPr>
        <w:t>𝑥</w:t>
      </w:r>
      <w:r w:rsidRPr="00BA42E0">
        <w:rPr>
          <w:rFonts w:ascii="Times New Roman" w:eastAsia="Times New Roman" w:hAnsi="Times New Roman" w:cs="Times New Roman"/>
          <w:color w:val="FF0000"/>
          <w:kern w:val="0"/>
          <w:sz w:val="29"/>
          <w:szCs w:val="29"/>
          <w:bdr w:val="none" w:sz="0" w:space="0" w:color="auto"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y</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color w:val="FF0000"/>
          <w:kern w:val="0"/>
          <w:sz w:val="24"/>
          <w:szCs w:val="24"/>
          <w14:ligatures w14:val="none"/>
        </w:rPr>
        <w:t xml:space="preserve"> is the predicted SOC value for the sample </w:t>
      </w:r>
      <w:r w:rsidRPr="00BA42E0">
        <w:rPr>
          <w:rFonts w:ascii="Cambria Math" w:eastAsia="Times New Roman" w:hAnsi="Cambria Math" w:cs="Cambria Math"/>
          <w:color w:val="FF0000"/>
          <w:kern w:val="0"/>
          <w:sz w:val="29"/>
          <w:szCs w:val="29"/>
          <w:bdr w:val="none" w:sz="0" w:space="0" w:color="auto" w:frame="1"/>
          <w14:ligatures w14:val="none"/>
        </w:rPr>
        <w:t>𝑥</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4"/>
          <w:szCs w:val="24"/>
          <w14:ligatures w14:val="none"/>
        </w:rPr>
        <w:t>.</w:t>
      </w:r>
    </w:p>
    <w:p w14:paraId="414267FD" w14:textId="77777777" w:rsidR="00BA42E0" w:rsidRPr="00BA42E0" w:rsidRDefault="00BA42E0" w:rsidP="00BA42E0">
      <w:pPr>
        <w:numPr>
          <w:ilvl w:val="0"/>
          <w:numId w:val="8"/>
        </w:numPr>
        <w:spacing w:after="0" w:line="240" w:lineRule="auto"/>
        <w:rPr>
          <w:rFonts w:ascii="Times New Roman" w:eastAsia="Times New Roman" w:hAnsi="Times New Roman" w:cs="Times New Roman"/>
          <w:color w:val="FF0000"/>
          <w:kern w:val="0"/>
          <w:sz w:val="24"/>
          <w:szCs w:val="24"/>
          <w14:ligatures w14:val="none"/>
        </w:rPr>
      </w:pPr>
      <w:r w:rsidRPr="00BA42E0">
        <w:rPr>
          <w:rFonts w:ascii="Cambria Math" w:eastAsia="Times New Roman" w:hAnsi="Cambria Math" w:cs="Cambria Math"/>
          <w:color w:val="FF0000"/>
          <w:kern w:val="0"/>
          <w:sz w:val="29"/>
          <w:szCs w:val="29"/>
          <w:bdr w:val="none" w:sz="0" w:space="0" w:color="auto" w:frame="1"/>
          <w14:ligatures w14:val="none"/>
        </w:rPr>
        <w:t>𝑁</w:t>
      </w:r>
      <w:r w:rsidRPr="00BA42E0">
        <w:rPr>
          <w:rFonts w:ascii="Times New Roman" w:eastAsia="Times New Roman" w:hAnsi="Times New Roman" w:cs="Times New Roman"/>
          <w:i/>
          <w:iCs/>
          <w:color w:val="FF0000"/>
          <w:kern w:val="0"/>
          <w:sz w:val="29"/>
          <w:szCs w:val="29"/>
          <w:bdr w:val="single" w:sz="2" w:space="0" w:color="E3E3E3" w:frame="1"/>
          <w14:ligatures w14:val="none"/>
        </w:rPr>
        <w:t>N</w:t>
      </w:r>
      <w:r w:rsidRPr="00BA42E0">
        <w:rPr>
          <w:rFonts w:ascii="Times New Roman" w:eastAsia="Times New Roman" w:hAnsi="Times New Roman" w:cs="Times New Roman"/>
          <w:color w:val="FF0000"/>
          <w:kern w:val="0"/>
          <w:sz w:val="24"/>
          <w:szCs w:val="24"/>
          <w14:ligatures w14:val="none"/>
        </w:rPr>
        <w:t xml:space="preserve"> is the number of decision trees in the forest.</w:t>
      </w:r>
    </w:p>
    <w:p w14:paraId="2B9C22E9" w14:textId="77777777" w:rsidR="00BA42E0" w:rsidRPr="00BA42E0" w:rsidRDefault="00BA42E0" w:rsidP="00BA42E0">
      <w:pPr>
        <w:numPr>
          <w:ilvl w:val="0"/>
          <w:numId w:val="8"/>
        </w:numPr>
        <w:spacing w:after="0" w:line="240" w:lineRule="auto"/>
        <w:rPr>
          <w:rFonts w:ascii="Times New Roman" w:eastAsia="Times New Roman" w:hAnsi="Times New Roman" w:cs="Times New Roman"/>
          <w:color w:val="FF0000"/>
          <w:kern w:val="0"/>
          <w:sz w:val="24"/>
          <w:szCs w:val="24"/>
          <w14:ligatures w14:val="none"/>
        </w:rPr>
      </w:pPr>
      <w:r w:rsidRPr="00BA42E0">
        <w:rPr>
          <w:rFonts w:ascii="Cambria Math" w:eastAsia="Times New Roman" w:hAnsi="Cambria Math" w:cs="Cambria Math"/>
          <w:color w:val="FF0000"/>
          <w:kern w:val="0"/>
          <w:sz w:val="29"/>
          <w:szCs w:val="29"/>
          <w:bdr w:val="none" w:sz="0" w:space="0" w:color="auto" w:frame="1"/>
          <w14:ligatures w14:val="none"/>
        </w:rPr>
        <w:t>𝑇𝑖</w:t>
      </w:r>
      <w:r w:rsidRPr="00BA42E0">
        <w:rPr>
          <w:rFonts w:ascii="Times New Roman" w:eastAsia="Times New Roman" w:hAnsi="Times New Roman" w:cs="Times New Roman"/>
          <w:color w:val="FF0000"/>
          <w:kern w:val="0"/>
          <w:sz w:val="29"/>
          <w:szCs w:val="29"/>
          <w:bdr w:val="none" w:sz="0" w:space="0" w:color="auto" w:frame="1"/>
          <w14:ligatures w14:val="none"/>
        </w:rPr>
        <w:t>(</w:t>
      </w:r>
      <w:r w:rsidRPr="00BA42E0">
        <w:rPr>
          <w:rFonts w:ascii="Cambria Math" w:eastAsia="Times New Roman" w:hAnsi="Cambria Math" w:cs="Cambria Math"/>
          <w:color w:val="FF0000"/>
          <w:kern w:val="0"/>
          <w:sz w:val="29"/>
          <w:szCs w:val="29"/>
          <w:bdr w:val="none" w:sz="0" w:space="0" w:color="auto" w:frame="1"/>
          <w14:ligatures w14:val="none"/>
        </w:rPr>
        <w:t>𝑥</w:t>
      </w:r>
      <w:r w:rsidRPr="00BA42E0">
        <w:rPr>
          <w:rFonts w:ascii="Times New Roman" w:eastAsia="Times New Roman" w:hAnsi="Times New Roman" w:cs="Times New Roman"/>
          <w:color w:val="FF0000"/>
          <w:kern w:val="0"/>
          <w:sz w:val="29"/>
          <w:szCs w:val="29"/>
          <w:bdr w:val="none" w:sz="0" w:space="0" w:color="auto"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T</w:t>
      </w:r>
      <w:r w:rsidRPr="00BA42E0">
        <w:rPr>
          <w:rFonts w:ascii="Times New Roman" w:eastAsia="Times New Roman" w:hAnsi="Times New Roman" w:cs="Times New Roman"/>
          <w:i/>
          <w:iCs/>
          <w:color w:val="FF0000"/>
          <w:kern w:val="0"/>
          <w:sz w:val="20"/>
          <w:szCs w:val="20"/>
          <w:bdr w:val="single" w:sz="2" w:space="0" w:color="E3E3E3" w:frame="1"/>
          <w14:ligatures w14:val="none"/>
        </w:rPr>
        <w:t>i</w:t>
      </w:r>
      <w:r w:rsidRPr="00BA42E0">
        <w:rPr>
          <w:rFonts w:ascii="Times New Roman" w:eastAsia="Times New Roman" w:hAnsi="Times New Roman" w:cs="Times New Roman"/>
          <w:color w:val="FF0000"/>
          <w:kern w:val="0"/>
          <w:sz w:val="2"/>
          <w:szCs w:val="2"/>
          <w:bdr w:val="single" w:sz="2" w:space="0" w:color="E3E3E3" w:frame="1"/>
          <w14:ligatures w14:val="none"/>
        </w:rPr>
        <w:t>​</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9"/>
          <w:szCs w:val="29"/>
          <w:bdr w:val="single" w:sz="2" w:space="0" w:color="E3E3E3" w:frame="1"/>
          <w14:ligatures w14:val="none"/>
        </w:rPr>
        <w:t>)</w:t>
      </w:r>
      <w:r w:rsidRPr="00BA42E0">
        <w:rPr>
          <w:rFonts w:ascii="Times New Roman" w:eastAsia="Times New Roman" w:hAnsi="Times New Roman" w:cs="Times New Roman"/>
          <w:color w:val="FF0000"/>
          <w:kern w:val="0"/>
          <w:sz w:val="24"/>
          <w:szCs w:val="24"/>
          <w14:ligatures w14:val="none"/>
        </w:rPr>
        <w:t xml:space="preserve"> is the prediction from the </w:t>
      </w:r>
      <w:r w:rsidRPr="00BA42E0">
        <w:rPr>
          <w:rFonts w:ascii="Cambria Math" w:eastAsia="Times New Roman" w:hAnsi="Cambria Math" w:cs="Cambria Math"/>
          <w:color w:val="FF0000"/>
          <w:kern w:val="0"/>
          <w:sz w:val="29"/>
          <w:szCs w:val="29"/>
          <w:bdr w:val="none" w:sz="0" w:space="0" w:color="auto" w:frame="1"/>
          <w14:ligatures w14:val="none"/>
        </w:rPr>
        <w:t>𝑖</w:t>
      </w:r>
      <w:r w:rsidRPr="00BA42E0">
        <w:rPr>
          <w:rFonts w:ascii="Times New Roman" w:eastAsia="Times New Roman" w:hAnsi="Times New Roman" w:cs="Times New Roman"/>
          <w:i/>
          <w:iCs/>
          <w:color w:val="FF0000"/>
          <w:kern w:val="0"/>
          <w:sz w:val="29"/>
          <w:szCs w:val="29"/>
          <w:bdr w:val="single" w:sz="2" w:space="0" w:color="E3E3E3" w:frame="1"/>
          <w14:ligatures w14:val="none"/>
        </w:rPr>
        <w:t>i</w:t>
      </w:r>
      <w:r w:rsidRPr="00BA42E0">
        <w:rPr>
          <w:rFonts w:ascii="Times New Roman" w:eastAsia="Times New Roman" w:hAnsi="Times New Roman" w:cs="Times New Roman"/>
          <w:color w:val="FF0000"/>
          <w:kern w:val="0"/>
          <w:sz w:val="24"/>
          <w:szCs w:val="24"/>
          <w14:ligatures w14:val="none"/>
        </w:rPr>
        <w:t xml:space="preserve">-th decision tree for the input </w:t>
      </w:r>
      <w:r w:rsidRPr="00BA42E0">
        <w:rPr>
          <w:rFonts w:ascii="Cambria Math" w:eastAsia="Times New Roman" w:hAnsi="Cambria Math" w:cs="Cambria Math"/>
          <w:color w:val="FF0000"/>
          <w:kern w:val="0"/>
          <w:sz w:val="29"/>
          <w:szCs w:val="29"/>
          <w:bdr w:val="none" w:sz="0" w:space="0" w:color="auto" w:frame="1"/>
          <w14:ligatures w14:val="none"/>
        </w:rPr>
        <w:t>𝑥</w:t>
      </w:r>
      <w:r w:rsidRPr="00BA42E0">
        <w:rPr>
          <w:rFonts w:ascii="Times New Roman" w:eastAsia="Times New Roman" w:hAnsi="Times New Roman" w:cs="Times New Roman"/>
          <w:i/>
          <w:iCs/>
          <w:color w:val="FF0000"/>
          <w:kern w:val="0"/>
          <w:sz w:val="29"/>
          <w:szCs w:val="29"/>
          <w:bdr w:val="single" w:sz="2" w:space="0" w:color="E3E3E3" w:frame="1"/>
          <w14:ligatures w14:val="none"/>
        </w:rPr>
        <w:t>x</w:t>
      </w:r>
      <w:r w:rsidRPr="00BA42E0">
        <w:rPr>
          <w:rFonts w:ascii="Times New Roman" w:eastAsia="Times New Roman" w:hAnsi="Times New Roman" w:cs="Times New Roman"/>
          <w:color w:val="FF0000"/>
          <w:kern w:val="0"/>
          <w:sz w:val="24"/>
          <w:szCs w:val="24"/>
          <w14:ligatures w14:val="none"/>
        </w:rPr>
        <w:t>.</w:t>
      </w:r>
    </w:p>
    <w:p w14:paraId="5AE01D2A" w14:textId="77777777" w:rsidR="00BA42E0" w:rsidRPr="001430AF" w:rsidRDefault="00BA42E0" w:rsidP="00BA42E0">
      <w:pPr>
        <w:spacing w:line="276" w:lineRule="auto"/>
        <w:jc w:val="both"/>
        <w:rPr>
          <w:rFonts w:ascii="Times New Roman" w:hAnsi="Times New Roman" w:cs="Times New Roman"/>
          <w:color w:val="FF0000"/>
          <w:sz w:val="24"/>
          <w:szCs w:val="24"/>
        </w:rPr>
      </w:pPr>
    </w:p>
    <w:p w14:paraId="62CBA94D" w14:textId="77777777" w:rsidR="00BA42E0" w:rsidRPr="001430AF" w:rsidRDefault="00BA42E0" w:rsidP="00BA42E0">
      <w:pPr>
        <w:spacing w:line="276" w:lineRule="auto"/>
        <w:jc w:val="both"/>
        <w:rPr>
          <w:rFonts w:ascii="Times New Roman" w:hAnsi="Times New Roman" w:cs="Times New Roman"/>
          <w:color w:val="FF0000"/>
          <w:sz w:val="24"/>
          <w:szCs w:val="24"/>
        </w:rPr>
      </w:pPr>
      <w:r w:rsidRPr="001430AF">
        <w:rPr>
          <w:rFonts w:ascii="Times New Roman" w:hAnsi="Times New Roman" w:cs="Times New Roman"/>
          <w:color w:val="FF0000"/>
          <w:sz w:val="24"/>
          <w:szCs w:val="24"/>
        </w:rPr>
        <w:t>Once the Random Forest model is trained, it is ready for prediction. Projected values for the environmental parameters corresponding to the year 2050 are inputted into the model. These projected values serve as inputs for the model, which then generates predictions for SOC levels in 2050 based on the learned relationships between the input features and SOC.</w:t>
      </w:r>
    </w:p>
    <w:p w14:paraId="3A2ACF08" w14:textId="77777777" w:rsidR="00BA42E0" w:rsidRPr="001430AF" w:rsidRDefault="00BA42E0" w:rsidP="00BA42E0">
      <w:pPr>
        <w:spacing w:line="276" w:lineRule="auto"/>
        <w:jc w:val="both"/>
        <w:rPr>
          <w:rFonts w:ascii="Times New Roman" w:hAnsi="Times New Roman" w:cs="Times New Roman"/>
          <w:color w:val="FF0000"/>
          <w:sz w:val="24"/>
          <w:szCs w:val="24"/>
        </w:rPr>
      </w:pPr>
    </w:p>
    <w:p w14:paraId="17553A81" w14:textId="77777777" w:rsidR="00BA42E0" w:rsidRPr="001430AF" w:rsidRDefault="00BA42E0" w:rsidP="00BA42E0">
      <w:pPr>
        <w:spacing w:line="276" w:lineRule="auto"/>
        <w:jc w:val="both"/>
        <w:rPr>
          <w:rFonts w:ascii="Times New Roman" w:hAnsi="Times New Roman" w:cs="Times New Roman"/>
          <w:color w:val="FF0000"/>
          <w:sz w:val="24"/>
          <w:szCs w:val="24"/>
        </w:rPr>
      </w:pPr>
      <w:r w:rsidRPr="001430AF">
        <w:rPr>
          <w:rFonts w:ascii="Times New Roman" w:hAnsi="Times New Roman" w:cs="Times New Roman"/>
          <w:color w:val="FF0000"/>
          <w:sz w:val="24"/>
          <w:szCs w:val="24"/>
        </w:rPr>
        <w:t xml:space="preserve">The prediction process culminates in estimating SOC values for 2050, providing valuable insights into potential future trends in soil carbon sequestration. Through this methodology, we leverage </w:t>
      </w:r>
      <w:r w:rsidRPr="001430AF">
        <w:rPr>
          <w:rFonts w:ascii="Times New Roman" w:hAnsi="Times New Roman" w:cs="Times New Roman"/>
          <w:color w:val="FF0000"/>
          <w:sz w:val="24"/>
          <w:szCs w:val="24"/>
        </w:rPr>
        <w:lastRenderedPageBreak/>
        <w:t>machine learning techniques to make informed predictions about SOC dynamics, aiding in environmental management and policy decision-making.</w:t>
      </w:r>
    </w:p>
    <w:p w14:paraId="6392DE06" w14:textId="77777777" w:rsidR="000436BC" w:rsidRDefault="000436BC" w:rsidP="00613545">
      <w:pPr>
        <w:spacing w:line="276" w:lineRule="auto"/>
        <w:jc w:val="both"/>
        <w:rPr>
          <w:rFonts w:ascii="Times New Roman" w:hAnsi="Times New Roman" w:cs="Times New Roman"/>
          <w:sz w:val="24"/>
          <w:szCs w:val="24"/>
        </w:rPr>
      </w:pPr>
    </w:p>
    <w:p w14:paraId="3A07455D" w14:textId="77777777" w:rsidR="000436BC" w:rsidRDefault="000436BC" w:rsidP="00613545">
      <w:pPr>
        <w:spacing w:line="276" w:lineRule="auto"/>
        <w:jc w:val="both"/>
        <w:rPr>
          <w:rFonts w:ascii="Times New Roman" w:hAnsi="Times New Roman" w:cs="Times New Roman"/>
          <w:sz w:val="24"/>
          <w:szCs w:val="24"/>
        </w:rPr>
      </w:pPr>
    </w:p>
    <w:p w14:paraId="5F88FE8D" w14:textId="6255A557" w:rsidR="001430AF" w:rsidRPr="007D7F19" w:rsidRDefault="007D7F19" w:rsidP="00613545">
      <w:pPr>
        <w:spacing w:line="276" w:lineRule="auto"/>
        <w:jc w:val="both"/>
        <w:rPr>
          <w:rStyle w:val="Hyperlink"/>
          <w:rFonts w:ascii="Times New Roman" w:hAnsi="Times New Roman" w:cs="Times New Roman"/>
          <w:b/>
          <w:bCs/>
          <w:color w:val="auto"/>
          <w:sz w:val="24"/>
          <w:szCs w:val="24"/>
          <w:u w:val="none"/>
        </w:rPr>
      </w:pPr>
      <w:r w:rsidRPr="007D7F19">
        <w:rPr>
          <w:rStyle w:val="Hyperlink"/>
          <w:rFonts w:ascii="Times New Roman" w:hAnsi="Times New Roman" w:cs="Times New Roman"/>
          <w:b/>
          <w:bCs/>
          <w:color w:val="auto"/>
          <w:sz w:val="24"/>
          <w:szCs w:val="24"/>
          <w:u w:val="none"/>
        </w:rPr>
        <w:t>Another method</w:t>
      </w:r>
    </w:p>
    <w:p w14:paraId="5FC3E57D" w14:textId="77777777" w:rsidR="007D7F19" w:rsidRPr="007D7F19" w:rsidRDefault="007D7F19" w:rsidP="007D7F19">
      <w:pPr>
        <w:pStyle w:val="NormalWeb"/>
        <w:spacing w:before="300" w:beforeAutospacing="0" w:after="300" w:afterAutospacing="0" w:line="276" w:lineRule="auto"/>
        <w:jc w:val="both"/>
        <w:rPr>
          <w:color w:val="FF0000"/>
        </w:rPr>
      </w:pPr>
      <w:r w:rsidRPr="007D7F19">
        <w:rPr>
          <w:color w:val="FF0000"/>
        </w:rPr>
        <w:t>The methodology begins by training Random Forest models for predicting Soil Organic Carbon (SOC) levels in 1990 and 2020. These models utilize historical SOC measurements (</w:t>
      </w:r>
      <w:r w:rsidRPr="007D7F19">
        <w:rPr>
          <w:rStyle w:val="katex-mathml"/>
          <w:rFonts w:ascii="Cambria Math" w:eastAsiaTheme="majorEastAsia" w:hAnsi="Cambria Math" w:cs="Cambria Math"/>
          <w:color w:val="FF0000"/>
          <w:bdr w:val="none" w:sz="0" w:space="0" w:color="auto" w:frame="1"/>
        </w:rPr>
        <w:t>𝑉</w:t>
      </w:r>
      <w:r w:rsidRPr="007D7F19">
        <w:rPr>
          <w:rStyle w:val="katex-mathml"/>
          <w:rFonts w:eastAsiaTheme="majorEastAsia"/>
          <w:color w:val="FF0000"/>
          <w:bdr w:val="none" w:sz="0" w:space="0" w:color="auto" w:frame="1"/>
        </w:rPr>
        <w:t>1990</w:t>
      </w:r>
      <w:r w:rsidRPr="007D7F19">
        <w:rPr>
          <w:rStyle w:val="mord"/>
          <w:rFonts w:eastAsiaTheme="majorEastAsia"/>
          <w:i/>
          <w:iCs/>
          <w:color w:val="FF0000"/>
          <w:bdr w:val="single" w:sz="2" w:space="0" w:color="E3E3E3" w:frame="1"/>
        </w:rPr>
        <w:t>V</w:t>
      </w:r>
      <w:r w:rsidRPr="007D7F19">
        <w:rPr>
          <w:rStyle w:val="mord"/>
          <w:rFonts w:eastAsiaTheme="majorEastAsia"/>
          <w:color w:val="FF0000"/>
          <w:bdr w:val="single" w:sz="2" w:space="0" w:color="E3E3E3" w:frame="1"/>
        </w:rPr>
        <w:t>1990</w:t>
      </w:r>
      <w:r w:rsidRPr="007D7F19">
        <w:rPr>
          <w:rStyle w:val="vlist-s"/>
          <w:color w:val="FF0000"/>
          <w:bdr w:val="single" w:sz="2" w:space="0" w:color="E3E3E3" w:frame="1"/>
        </w:rPr>
        <w:t>​</w:t>
      </w:r>
      <w:r w:rsidRPr="007D7F19">
        <w:rPr>
          <w:color w:val="FF0000"/>
        </w:rPr>
        <w:t xml:space="preserve">, </w:t>
      </w:r>
      <w:r w:rsidRPr="007D7F19">
        <w:rPr>
          <w:rStyle w:val="katex-mathml"/>
          <w:rFonts w:ascii="Cambria Math" w:eastAsiaTheme="majorEastAsia" w:hAnsi="Cambria Math" w:cs="Cambria Math"/>
          <w:color w:val="FF0000"/>
          <w:bdr w:val="none" w:sz="0" w:space="0" w:color="auto" w:frame="1"/>
        </w:rPr>
        <w:t>𝑉</w:t>
      </w:r>
      <w:r w:rsidRPr="007D7F19">
        <w:rPr>
          <w:rStyle w:val="katex-mathml"/>
          <w:rFonts w:eastAsiaTheme="majorEastAsia"/>
          <w:color w:val="FF0000"/>
          <w:bdr w:val="none" w:sz="0" w:space="0" w:color="auto" w:frame="1"/>
        </w:rPr>
        <w:t>2020</w:t>
      </w:r>
      <w:r w:rsidRPr="007D7F19">
        <w:rPr>
          <w:rStyle w:val="mord"/>
          <w:rFonts w:eastAsiaTheme="majorEastAsia"/>
          <w:i/>
          <w:iCs/>
          <w:color w:val="FF0000"/>
          <w:bdr w:val="single" w:sz="2" w:space="0" w:color="E3E3E3" w:frame="1"/>
        </w:rPr>
        <w:t>V</w:t>
      </w:r>
      <w:r w:rsidRPr="007D7F19">
        <w:rPr>
          <w:rStyle w:val="mord"/>
          <w:rFonts w:eastAsiaTheme="majorEastAsia"/>
          <w:color w:val="FF0000"/>
          <w:bdr w:val="single" w:sz="2" w:space="0" w:color="E3E3E3" w:frame="1"/>
        </w:rPr>
        <w:t>2020</w:t>
      </w:r>
      <w:r w:rsidRPr="007D7F19">
        <w:rPr>
          <w:rStyle w:val="vlist-s"/>
          <w:color w:val="FF0000"/>
          <w:bdr w:val="single" w:sz="2" w:space="0" w:color="E3E3E3" w:frame="1"/>
        </w:rPr>
        <w:t>​</w:t>
      </w:r>
      <w:r w:rsidRPr="007D7F19">
        <w:rPr>
          <w:color w:val="FF0000"/>
        </w:rPr>
        <w:t>) alongside environmental parameters (</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1,</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w:t>
      </w:r>
      <w:r w:rsidRPr="007D7F19">
        <w:rPr>
          <w:rStyle w:val="katex-mathml"/>
          <w:rFonts w:ascii="Cambria Math" w:eastAsiaTheme="majorEastAsia" w:hAnsi="Cambria Math" w:cs="Cambria Math"/>
          <w:color w:val="FF0000"/>
          <w:bdr w:val="none" w:sz="0" w:space="0" w:color="auto" w:frame="1"/>
        </w:rPr>
        <w:t>𝑥𝑛</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1</w:t>
      </w:r>
      <w:r w:rsidRPr="007D7F19">
        <w:rPr>
          <w:rStyle w:val="vlist-s"/>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w:t>
      </w:r>
      <w:r w:rsidRPr="007D7F19">
        <w:rPr>
          <w:rStyle w:val="vlist-s"/>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i/>
          <w:iCs/>
          <w:color w:val="FF0000"/>
          <w:bdr w:val="single" w:sz="2" w:space="0" w:color="E3E3E3" w:frame="1"/>
        </w:rPr>
        <w:t>xn</w:t>
      </w:r>
      <w:r w:rsidRPr="007D7F19">
        <w:rPr>
          <w:rStyle w:val="vlist-s"/>
          <w:color w:val="FF0000"/>
          <w:bdr w:val="single" w:sz="2" w:space="0" w:color="E3E3E3" w:frame="1"/>
        </w:rPr>
        <w:t>​</w:t>
      </w:r>
      <w:r w:rsidRPr="007D7F19">
        <w:rPr>
          <w:color w:val="FF0000"/>
        </w:rPr>
        <w:t>) to make predictions. The Random Forest algorithm constructs multiple decision trees, with each tree making its prediction based on a subset of the data. The predicted SOC value (</w:t>
      </w: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^1990</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1990</w:t>
      </w:r>
      <w:r w:rsidRPr="007D7F19">
        <w:rPr>
          <w:rStyle w:val="vlist-s"/>
          <w:color w:val="FF0000"/>
          <w:bdr w:val="single" w:sz="2" w:space="0" w:color="E3E3E3" w:frame="1"/>
        </w:rPr>
        <w:t>​</w:t>
      </w:r>
      <w:r w:rsidRPr="007D7F19">
        <w:rPr>
          <w:color w:val="FF0000"/>
        </w:rPr>
        <w:t xml:space="preserve">, </w:t>
      </w: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^2020</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2020</w:t>
      </w:r>
      <w:r w:rsidRPr="007D7F19">
        <w:rPr>
          <w:rStyle w:val="vlist-s"/>
          <w:color w:val="FF0000"/>
          <w:bdr w:val="single" w:sz="2" w:space="0" w:color="E3E3E3" w:frame="1"/>
        </w:rPr>
        <w:t>​</w:t>
      </w:r>
      <w:r w:rsidRPr="007D7F19">
        <w:rPr>
          <w:color w:val="FF0000"/>
        </w:rPr>
        <w:t>) for a given set of environmental parameters (</w:t>
      </w:r>
      <w:r w:rsidRPr="007D7F19">
        <w:rPr>
          <w:rStyle w:val="katex-mathml"/>
          <w:rFonts w:ascii="Cambria Math" w:eastAsiaTheme="majorEastAsia" w:hAnsi="Cambria Math" w:cs="Cambria Math"/>
          <w:color w:val="FF0000"/>
          <w:bdr w:val="none" w:sz="0" w:space="0" w:color="auto" w:frame="1"/>
        </w:rPr>
        <w:t>𝑥</w:t>
      </w:r>
      <w:r w:rsidRPr="007D7F19">
        <w:rPr>
          <w:rStyle w:val="mord"/>
          <w:rFonts w:eastAsiaTheme="majorEastAsia"/>
          <w:i/>
          <w:iCs/>
          <w:color w:val="FF0000"/>
          <w:bdr w:val="single" w:sz="2" w:space="0" w:color="E3E3E3" w:frame="1"/>
        </w:rPr>
        <w:t>x</w:t>
      </w:r>
      <w:r w:rsidRPr="007D7F19">
        <w:rPr>
          <w:color w:val="FF0000"/>
        </w:rPr>
        <w:t>) can be expressed as:</w:t>
      </w:r>
    </w:p>
    <w:p w14:paraId="7947E378" w14:textId="77777777" w:rsidR="007D7F19" w:rsidRPr="007D7F19" w:rsidRDefault="007D7F19" w:rsidP="007D7F19">
      <w:pPr>
        <w:pStyle w:val="NormalWeb"/>
        <w:spacing w:before="300" w:beforeAutospacing="0" w:after="300" w:afterAutospacing="0" w:line="276" w:lineRule="auto"/>
        <w:jc w:val="both"/>
        <w:rPr>
          <w:color w:val="FF0000"/>
        </w:rPr>
      </w:pP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^1990=1</w:t>
      </w:r>
      <w:r w:rsidRPr="007D7F19">
        <w:rPr>
          <w:rStyle w:val="katex-mathml"/>
          <w:rFonts w:ascii="Cambria Math" w:eastAsiaTheme="majorEastAsia" w:hAnsi="Cambria Math" w:cs="Cambria Math"/>
          <w:color w:val="FF0000"/>
          <w:bdr w:val="none" w:sz="0" w:space="0" w:color="auto" w:frame="1"/>
        </w:rPr>
        <w:t>𝑁</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𝑖</w:t>
      </w:r>
      <w:r w:rsidRPr="007D7F19">
        <w:rPr>
          <w:rStyle w:val="katex-mathml"/>
          <w:rFonts w:eastAsiaTheme="majorEastAsia"/>
          <w:color w:val="FF0000"/>
          <w:bdr w:val="none" w:sz="0" w:space="0" w:color="auto" w:frame="1"/>
        </w:rPr>
        <w:t>=1</w:t>
      </w:r>
      <w:r w:rsidRPr="007D7F19">
        <w:rPr>
          <w:rStyle w:val="katex-mathml"/>
          <w:rFonts w:ascii="Cambria Math" w:eastAsiaTheme="majorEastAsia" w:hAnsi="Cambria Math" w:cs="Cambria Math"/>
          <w:color w:val="FF0000"/>
          <w:bdr w:val="none" w:sz="0" w:space="0" w:color="auto" w:frame="1"/>
        </w:rPr>
        <w:t>𝑁𝑇𝑖</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1990</w:t>
      </w:r>
      <w:r w:rsidRPr="007D7F19">
        <w:rPr>
          <w:rStyle w:val="vlist-s"/>
          <w:color w:val="FF0000"/>
          <w:bdr w:val="single" w:sz="2" w:space="0" w:color="E3E3E3" w:frame="1"/>
        </w:rPr>
        <w:t>​</w:t>
      </w:r>
      <w:r w:rsidRPr="007D7F19">
        <w:rPr>
          <w:rStyle w:val="mrel"/>
          <w:color w:val="FF0000"/>
          <w:bdr w:val="single" w:sz="2" w:space="0" w:color="E3E3E3" w:frame="1"/>
        </w:rPr>
        <w:t>=</w:t>
      </w:r>
      <w:r w:rsidRPr="007D7F19">
        <w:rPr>
          <w:rStyle w:val="mord"/>
          <w:rFonts w:eastAsiaTheme="majorEastAsia"/>
          <w:i/>
          <w:iCs/>
          <w:color w:val="FF0000"/>
          <w:bdr w:val="single" w:sz="2" w:space="0" w:color="E3E3E3" w:frame="1"/>
        </w:rPr>
        <w:t>N</w:t>
      </w:r>
      <w:r w:rsidRPr="007D7F19">
        <w:rPr>
          <w:rStyle w:val="mord"/>
          <w:rFonts w:eastAsiaTheme="majorEastAsia"/>
          <w:color w:val="FF0000"/>
          <w:bdr w:val="single" w:sz="2" w:space="0" w:color="E3E3E3" w:frame="1"/>
        </w:rPr>
        <w:t>1</w:t>
      </w:r>
      <w:r w:rsidRPr="007D7F19">
        <w:rPr>
          <w:rStyle w:val="vlist-s"/>
          <w:color w:val="FF0000"/>
          <w:bdr w:val="single" w:sz="2" w:space="0" w:color="E3E3E3" w:frame="1"/>
        </w:rPr>
        <w:t>​</w:t>
      </w:r>
      <w:r w:rsidRPr="007D7F19">
        <w:rPr>
          <w:rStyle w:val="mop"/>
          <w:color w:val="FF0000"/>
          <w:bdr w:val="single" w:sz="2" w:space="0" w:color="E3E3E3" w:frame="1"/>
        </w:rPr>
        <w:t>∑</w:t>
      </w:r>
      <w:r w:rsidRPr="007D7F19">
        <w:rPr>
          <w:rStyle w:val="mord"/>
          <w:rFonts w:eastAsiaTheme="majorEastAsia"/>
          <w:i/>
          <w:iCs/>
          <w:color w:val="FF0000"/>
          <w:bdr w:val="single" w:sz="2" w:space="0" w:color="E3E3E3" w:frame="1"/>
        </w:rPr>
        <w:t>i</w:t>
      </w:r>
      <w:r w:rsidRPr="007D7F19">
        <w:rPr>
          <w:rStyle w:val="mrel"/>
          <w:color w:val="FF0000"/>
          <w:bdr w:val="single" w:sz="2" w:space="0" w:color="E3E3E3" w:frame="1"/>
        </w:rPr>
        <w:t>=</w:t>
      </w:r>
      <w:r w:rsidRPr="007D7F19">
        <w:rPr>
          <w:rStyle w:val="mord"/>
          <w:rFonts w:eastAsiaTheme="majorEastAsia"/>
          <w:color w:val="FF0000"/>
          <w:bdr w:val="single" w:sz="2" w:space="0" w:color="E3E3E3" w:frame="1"/>
        </w:rPr>
        <w:t>1</w:t>
      </w:r>
      <w:r w:rsidRPr="007D7F19">
        <w:rPr>
          <w:rStyle w:val="mord"/>
          <w:rFonts w:eastAsiaTheme="majorEastAsia"/>
          <w:i/>
          <w:iCs/>
          <w:color w:val="FF0000"/>
          <w:bdr w:val="single" w:sz="2" w:space="0" w:color="E3E3E3" w:frame="1"/>
        </w:rPr>
        <w:t>N</w:t>
      </w:r>
      <w:r w:rsidRPr="007D7F19">
        <w:rPr>
          <w:rStyle w:val="vlist-s"/>
          <w:color w:val="FF0000"/>
          <w:bdr w:val="single" w:sz="2" w:space="0" w:color="E3E3E3" w:frame="1"/>
        </w:rPr>
        <w:t>​</w:t>
      </w:r>
      <w:r w:rsidRPr="007D7F19">
        <w:rPr>
          <w:rStyle w:val="mord"/>
          <w:rFonts w:eastAsiaTheme="majorEastAsia"/>
          <w:i/>
          <w:iCs/>
          <w:color w:val="FF0000"/>
          <w:bdr w:val="single" w:sz="2" w:space="0" w:color="E3E3E3" w:frame="1"/>
        </w:rPr>
        <w:t>Ti</w:t>
      </w:r>
      <w:r w:rsidRPr="007D7F19">
        <w:rPr>
          <w:rStyle w:val="vlist-s"/>
          <w:color w:val="FF0000"/>
          <w:bdr w:val="single" w:sz="2" w:space="0" w:color="E3E3E3" w:frame="1"/>
        </w:rPr>
        <w:t>​</w:t>
      </w:r>
      <w:r w:rsidRPr="007D7F19">
        <w:rPr>
          <w:rStyle w:val="mopen"/>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close"/>
          <w:color w:val="FF0000"/>
          <w:bdr w:val="single" w:sz="2" w:space="0" w:color="E3E3E3" w:frame="1"/>
        </w:rPr>
        <w:t>)</w:t>
      </w:r>
      <w:r w:rsidRPr="007D7F19">
        <w:rPr>
          <w:color w:val="FF0000"/>
        </w:rPr>
        <w:t xml:space="preserve"> </w:t>
      </w: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^2020=1</w:t>
      </w:r>
      <w:r w:rsidRPr="007D7F19">
        <w:rPr>
          <w:rStyle w:val="katex-mathml"/>
          <w:rFonts w:ascii="Cambria Math" w:eastAsiaTheme="majorEastAsia" w:hAnsi="Cambria Math" w:cs="Cambria Math"/>
          <w:color w:val="FF0000"/>
          <w:bdr w:val="none" w:sz="0" w:space="0" w:color="auto" w:frame="1"/>
        </w:rPr>
        <w:t>𝑁</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𝑖</w:t>
      </w:r>
      <w:r w:rsidRPr="007D7F19">
        <w:rPr>
          <w:rStyle w:val="katex-mathml"/>
          <w:rFonts w:eastAsiaTheme="majorEastAsia"/>
          <w:color w:val="FF0000"/>
          <w:bdr w:val="none" w:sz="0" w:space="0" w:color="auto" w:frame="1"/>
        </w:rPr>
        <w:t>=1</w:t>
      </w:r>
      <w:r w:rsidRPr="007D7F19">
        <w:rPr>
          <w:rStyle w:val="katex-mathml"/>
          <w:rFonts w:ascii="Cambria Math" w:eastAsiaTheme="majorEastAsia" w:hAnsi="Cambria Math" w:cs="Cambria Math"/>
          <w:color w:val="FF0000"/>
          <w:bdr w:val="none" w:sz="0" w:space="0" w:color="auto" w:frame="1"/>
        </w:rPr>
        <w:t>𝑁𝑇𝑖</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2020</w:t>
      </w:r>
      <w:r w:rsidRPr="007D7F19">
        <w:rPr>
          <w:rStyle w:val="vlist-s"/>
          <w:color w:val="FF0000"/>
          <w:bdr w:val="single" w:sz="2" w:space="0" w:color="E3E3E3" w:frame="1"/>
        </w:rPr>
        <w:t>​</w:t>
      </w:r>
      <w:r w:rsidRPr="007D7F19">
        <w:rPr>
          <w:rStyle w:val="mrel"/>
          <w:color w:val="FF0000"/>
          <w:bdr w:val="single" w:sz="2" w:space="0" w:color="E3E3E3" w:frame="1"/>
        </w:rPr>
        <w:t>=</w:t>
      </w:r>
      <w:r w:rsidRPr="007D7F19">
        <w:rPr>
          <w:rStyle w:val="mord"/>
          <w:rFonts w:eastAsiaTheme="majorEastAsia"/>
          <w:i/>
          <w:iCs/>
          <w:color w:val="FF0000"/>
          <w:bdr w:val="single" w:sz="2" w:space="0" w:color="E3E3E3" w:frame="1"/>
        </w:rPr>
        <w:t>N</w:t>
      </w:r>
      <w:r w:rsidRPr="007D7F19">
        <w:rPr>
          <w:rStyle w:val="mord"/>
          <w:rFonts w:eastAsiaTheme="majorEastAsia"/>
          <w:color w:val="FF0000"/>
          <w:bdr w:val="single" w:sz="2" w:space="0" w:color="E3E3E3" w:frame="1"/>
        </w:rPr>
        <w:t>1</w:t>
      </w:r>
      <w:r w:rsidRPr="007D7F19">
        <w:rPr>
          <w:rStyle w:val="vlist-s"/>
          <w:color w:val="FF0000"/>
          <w:bdr w:val="single" w:sz="2" w:space="0" w:color="E3E3E3" w:frame="1"/>
        </w:rPr>
        <w:t>​</w:t>
      </w:r>
      <w:r w:rsidRPr="007D7F19">
        <w:rPr>
          <w:rStyle w:val="mop"/>
          <w:color w:val="FF0000"/>
          <w:bdr w:val="single" w:sz="2" w:space="0" w:color="E3E3E3" w:frame="1"/>
        </w:rPr>
        <w:t>∑</w:t>
      </w:r>
      <w:r w:rsidRPr="007D7F19">
        <w:rPr>
          <w:rStyle w:val="mord"/>
          <w:rFonts w:eastAsiaTheme="majorEastAsia"/>
          <w:i/>
          <w:iCs/>
          <w:color w:val="FF0000"/>
          <w:bdr w:val="single" w:sz="2" w:space="0" w:color="E3E3E3" w:frame="1"/>
        </w:rPr>
        <w:t>i</w:t>
      </w:r>
      <w:r w:rsidRPr="007D7F19">
        <w:rPr>
          <w:rStyle w:val="mrel"/>
          <w:color w:val="FF0000"/>
          <w:bdr w:val="single" w:sz="2" w:space="0" w:color="E3E3E3" w:frame="1"/>
        </w:rPr>
        <w:t>=</w:t>
      </w:r>
      <w:r w:rsidRPr="007D7F19">
        <w:rPr>
          <w:rStyle w:val="mord"/>
          <w:rFonts w:eastAsiaTheme="majorEastAsia"/>
          <w:color w:val="FF0000"/>
          <w:bdr w:val="single" w:sz="2" w:space="0" w:color="E3E3E3" w:frame="1"/>
        </w:rPr>
        <w:t>1</w:t>
      </w:r>
      <w:r w:rsidRPr="007D7F19">
        <w:rPr>
          <w:rStyle w:val="mord"/>
          <w:rFonts w:eastAsiaTheme="majorEastAsia"/>
          <w:i/>
          <w:iCs/>
          <w:color w:val="FF0000"/>
          <w:bdr w:val="single" w:sz="2" w:space="0" w:color="E3E3E3" w:frame="1"/>
        </w:rPr>
        <w:t>N</w:t>
      </w:r>
      <w:r w:rsidRPr="007D7F19">
        <w:rPr>
          <w:rStyle w:val="vlist-s"/>
          <w:color w:val="FF0000"/>
          <w:bdr w:val="single" w:sz="2" w:space="0" w:color="E3E3E3" w:frame="1"/>
        </w:rPr>
        <w:t>​</w:t>
      </w:r>
      <w:r w:rsidRPr="007D7F19">
        <w:rPr>
          <w:rStyle w:val="mord"/>
          <w:rFonts w:eastAsiaTheme="majorEastAsia"/>
          <w:i/>
          <w:iCs/>
          <w:color w:val="FF0000"/>
          <w:bdr w:val="single" w:sz="2" w:space="0" w:color="E3E3E3" w:frame="1"/>
        </w:rPr>
        <w:t>Ti</w:t>
      </w:r>
      <w:r w:rsidRPr="007D7F19">
        <w:rPr>
          <w:rStyle w:val="vlist-s"/>
          <w:color w:val="FF0000"/>
          <w:bdr w:val="single" w:sz="2" w:space="0" w:color="E3E3E3" w:frame="1"/>
        </w:rPr>
        <w:t>​</w:t>
      </w:r>
      <w:r w:rsidRPr="007D7F19">
        <w:rPr>
          <w:rStyle w:val="mopen"/>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close"/>
          <w:color w:val="FF0000"/>
          <w:bdr w:val="single" w:sz="2" w:space="0" w:color="E3E3E3" w:frame="1"/>
        </w:rPr>
        <w:t>)</w:t>
      </w:r>
    </w:p>
    <w:p w14:paraId="55EE647C" w14:textId="77777777" w:rsidR="007D7F19" w:rsidRPr="007D7F19" w:rsidRDefault="007D7F19" w:rsidP="007D7F19">
      <w:pPr>
        <w:pStyle w:val="NormalWeb"/>
        <w:spacing w:before="300" w:beforeAutospacing="0" w:after="300" w:afterAutospacing="0" w:line="276" w:lineRule="auto"/>
        <w:jc w:val="both"/>
        <w:rPr>
          <w:color w:val="FF0000"/>
        </w:rPr>
      </w:pPr>
      <w:r w:rsidRPr="007D7F19">
        <w:rPr>
          <w:color w:val="FF0000"/>
        </w:rPr>
        <w:t xml:space="preserve">where </w:t>
      </w:r>
      <w:r w:rsidRPr="007D7F19">
        <w:rPr>
          <w:rStyle w:val="katex-mathml"/>
          <w:rFonts w:ascii="Cambria Math" w:eastAsiaTheme="majorEastAsia" w:hAnsi="Cambria Math" w:cs="Cambria Math"/>
          <w:color w:val="FF0000"/>
          <w:bdr w:val="none" w:sz="0" w:space="0" w:color="auto" w:frame="1"/>
        </w:rPr>
        <w:t>𝑁</w:t>
      </w:r>
      <w:r w:rsidRPr="007D7F19">
        <w:rPr>
          <w:rStyle w:val="mord"/>
          <w:rFonts w:eastAsiaTheme="majorEastAsia"/>
          <w:i/>
          <w:iCs/>
          <w:color w:val="FF0000"/>
          <w:bdr w:val="single" w:sz="2" w:space="0" w:color="E3E3E3" w:frame="1"/>
        </w:rPr>
        <w:t>N</w:t>
      </w:r>
      <w:r w:rsidRPr="007D7F19">
        <w:rPr>
          <w:color w:val="FF0000"/>
        </w:rPr>
        <w:t xml:space="preserve"> is the number of decision trees, and </w:t>
      </w:r>
      <w:r w:rsidRPr="007D7F19">
        <w:rPr>
          <w:rStyle w:val="katex-mathml"/>
          <w:rFonts w:ascii="Cambria Math" w:eastAsiaTheme="majorEastAsia" w:hAnsi="Cambria Math" w:cs="Cambria Math"/>
          <w:color w:val="FF0000"/>
          <w:bdr w:val="none" w:sz="0" w:space="0" w:color="auto" w:frame="1"/>
        </w:rPr>
        <w:t>𝑇𝑖</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w:t>
      </w:r>
      <w:r w:rsidRPr="007D7F19">
        <w:rPr>
          <w:rStyle w:val="mord"/>
          <w:rFonts w:eastAsiaTheme="majorEastAsia"/>
          <w:i/>
          <w:iCs/>
          <w:color w:val="FF0000"/>
          <w:bdr w:val="single" w:sz="2" w:space="0" w:color="E3E3E3" w:frame="1"/>
        </w:rPr>
        <w:t>Ti</w:t>
      </w:r>
      <w:r w:rsidRPr="007D7F19">
        <w:rPr>
          <w:rStyle w:val="vlist-s"/>
          <w:color w:val="FF0000"/>
          <w:bdr w:val="single" w:sz="2" w:space="0" w:color="E3E3E3" w:frame="1"/>
        </w:rPr>
        <w:t>​</w:t>
      </w:r>
      <w:r w:rsidRPr="007D7F19">
        <w:rPr>
          <w:rStyle w:val="mopen"/>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close"/>
          <w:color w:val="FF0000"/>
          <w:bdr w:val="single" w:sz="2" w:space="0" w:color="E3E3E3" w:frame="1"/>
        </w:rPr>
        <w:t>)</w:t>
      </w:r>
      <w:r w:rsidRPr="007D7F19">
        <w:rPr>
          <w:color w:val="FF0000"/>
        </w:rPr>
        <w:t xml:space="preserve"> represents the prediction from the </w:t>
      </w:r>
      <w:r w:rsidRPr="007D7F19">
        <w:rPr>
          <w:rStyle w:val="katex-mathml"/>
          <w:rFonts w:ascii="Cambria Math" w:eastAsiaTheme="majorEastAsia" w:hAnsi="Cambria Math" w:cs="Cambria Math"/>
          <w:color w:val="FF0000"/>
          <w:bdr w:val="none" w:sz="0" w:space="0" w:color="auto" w:frame="1"/>
        </w:rPr>
        <w:t>𝑖</w:t>
      </w:r>
      <w:r w:rsidRPr="007D7F19">
        <w:rPr>
          <w:rStyle w:val="mord"/>
          <w:rFonts w:eastAsiaTheme="majorEastAsia"/>
          <w:i/>
          <w:iCs/>
          <w:color w:val="FF0000"/>
          <w:bdr w:val="single" w:sz="2" w:space="0" w:color="E3E3E3" w:frame="1"/>
        </w:rPr>
        <w:t>i</w:t>
      </w:r>
      <w:r w:rsidRPr="007D7F19">
        <w:rPr>
          <w:color w:val="FF0000"/>
        </w:rPr>
        <w:t xml:space="preserve">-th decision tree for the input </w:t>
      </w:r>
      <w:r w:rsidRPr="007D7F19">
        <w:rPr>
          <w:rStyle w:val="katex-mathml"/>
          <w:rFonts w:ascii="Cambria Math" w:eastAsiaTheme="majorEastAsia" w:hAnsi="Cambria Math" w:cs="Cambria Math"/>
          <w:color w:val="FF0000"/>
          <w:bdr w:val="none" w:sz="0" w:space="0" w:color="auto" w:frame="1"/>
        </w:rPr>
        <w:t>𝑥</w:t>
      </w:r>
      <w:r w:rsidRPr="007D7F19">
        <w:rPr>
          <w:rStyle w:val="mord"/>
          <w:rFonts w:eastAsiaTheme="majorEastAsia"/>
          <w:i/>
          <w:iCs/>
          <w:color w:val="FF0000"/>
          <w:bdr w:val="single" w:sz="2" w:space="0" w:color="E3E3E3" w:frame="1"/>
        </w:rPr>
        <w:t>x</w:t>
      </w:r>
      <w:r w:rsidRPr="007D7F19">
        <w:rPr>
          <w:color w:val="FF0000"/>
        </w:rPr>
        <w:t>.</w:t>
      </w:r>
    </w:p>
    <w:p w14:paraId="3591C67C" w14:textId="77777777" w:rsidR="007D7F19" w:rsidRPr="007D7F19" w:rsidRDefault="007D7F19" w:rsidP="007D7F19">
      <w:pPr>
        <w:pStyle w:val="NormalWeb"/>
        <w:spacing w:before="300" w:beforeAutospacing="0" w:after="300" w:afterAutospacing="0" w:line="276" w:lineRule="auto"/>
        <w:jc w:val="both"/>
        <w:rPr>
          <w:color w:val="FF0000"/>
        </w:rPr>
      </w:pPr>
      <w:r w:rsidRPr="007D7F19">
        <w:rPr>
          <w:color w:val="FF0000"/>
        </w:rPr>
        <w:t>Having validated these models, the next step involves extrapolating SOC predictions for the year 2050. This extrapolation relies on projecting future values of environmental parameters (</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12050,</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22050,...,</w:t>
      </w:r>
      <w:r w:rsidRPr="007D7F19">
        <w:rPr>
          <w:rStyle w:val="katex-mathml"/>
          <w:rFonts w:ascii="Cambria Math" w:eastAsiaTheme="majorEastAsia" w:hAnsi="Cambria Math" w:cs="Cambria Math"/>
          <w:color w:val="FF0000"/>
          <w:bdr w:val="none" w:sz="0" w:space="0" w:color="auto" w:frame="1"/>
        </w:rPr>
        <w:t>𝑥𝑛</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12050</w:t>
      </w:r>
      <w:r w:rsidRPr="007D7F19">
        <w:rPr>
          <w:rStyle w:val="vlist-s"/>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22050</w:t>
      </w:r>
      <w:r w:rsidRPr="007D7F19">
        <w:rPr>
          <w:rStyle w:val="vlist-s"/>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color w:val="FF0000"/>
          <w:bdr w:val="single" w:sz="2" w:space="0" w:color="E3E3E3" w:frame="1"/>
        </w:rPr>
        <w:t>...</w:t>
      </w:r>
      <w:r w:rsidRPr="007D7F19">
        <w:rPr>
          <w:rStyle w:val="mpunct"/>
          <w:color w:val="FF0000"/>
          <w:bdr w:val="single" w:sz="2" w:space="0" w:color="E3E3E3" w:frame="1"/>
        </w:rPr>
        <w:t>,</w:t>
      </w:r>
      <w:r w:rsidRPr="007D7F19">
        <w:rPr>
          <w:rStyle w:val="mord"/>
          <w:rFonts w:eastAsiaTheme="majorEastAsia"/>
          <w:i/>
          <w:iCs/>
          <w:color w:val="FF0000"/>
          <w:bdr w:val="single" w:sz="2" w:space="0" w:color="E3E3E3" w:frame="1"/>
        </w:rPr>
        <w:t>xn</w:t>
      </w:r>
      <w:r w:rsidRPr="007D7F19">
        <w:rPr>
          <w:rStyle w:val="mord"/>
          <w:rFonts w:eastAsiaTheme="majorEastAsia"/>
          <w:color w:val="FF0000"/>
          <w:bdr w:val="single" w:sz="2" w:space="0" w:color="E3E3E3" w:frame="1"/>
        </w:rPr>
        <w:t>2050</w:t>
      </w:r>
      <w:r w:rsidRPr="007D7F19">
        <w:rPr>
          <w:rStyle w:val="vlist-s"/>
          <w:color w:val="FF0000"/>
          <w:bdr w:val="single" w:sz="2" w:space="0" w:color="E3E3E3" w:frame="1"/>
        </w:rPr>
        <w:t>​</w:t>
      </w:r>
      <w:r w:rsidRPr="007D7F19">
        <w:rPr>
          <w:color w:val="FF0000"/>
        </w:rPr>
        <w:t>) based on anticipated trends or predictions. The trained Random Forest models are then applied to these projected parameter values to predict SOC levels for 2050 using extrapolation. Mathematically, the predicted SOC value (</w:t>
      </w: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2050</w:t>
      </w:r>
      <w:r w:rsidRPr="007D7F19">
        <w:rPr>
          <w:rStyle w:val="vlist-s"/>
          <w:color w:val="FF0000"/>
          <w:bdr w:val="single" w:sz="2" w:space="0" w:color="E3E3E3" w:frame="1"/>
        </w:rPr>
        <w:t>​</w:t>
      </w:r>
      <w:r w:rsidRPr="007D7F19">
        <w:rPr>
          <w:color w:val="FF0000"/>
        </w:rPr>
        <w:t>) for the projected environmental parameter values (</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2050</w:t>
      </w:r>
      <w:r w:rsidRPr="007D7F19">
        <w:rPr>
          <w:color w:val="FF0000"/>
        </w:rPr>
        <w:t>) can be expressed as:</w:t>
      </w:r>
    </w:p>
    <w:p w14:paraId="347849EE" w14:textId="77777777" w:rsidR="007D7F19" w:rsidRPr="007D7F19" w:rsidRDefault="007D7F19" w:rsidP="007D7F19">
      <w:pPr>
        <w:pStyle w:val="NormalWeb"/>
        <w:spacing w:before="300" w:beforeAutospacing="0" w:after="300" w:afterAutospacing="0" w:line="276" w:lineRule="auto"/>
        <w:jc w:val="both"/>
        <w:rPr>
          <w:color w:val="FF0000"/>
        </w:rPr>
      </w:pPr>
      <w:r w:rsidRPr="007D7F19">
        <w:rPr>
          <w:rStyle w:val="katex-mathml"/>
          <w:rFonts w:ascii="Cambria Math" w:eastAsiaTheme="majorEastAsia" w:hAnsi="Cambria Math" w:cs="Cambria Math"/>
          <w:color w:val="FF0000"/>
          <w:bdr w:val="none" w:sz="0" w:space="0" w:color="auto" w:frame="1"/>
        </w:rPr>
        <w:t>𝑦</w:t>
      </w:r>
      <w:r w:rsidRPr="007D7F19">
        <w:rPr>
          <w:rStyle w:val="katex-mathml"/>
          <w:rFonts w:eastAsiaTheme="majorEastAsia"/>
          <w:color w:val="FF0000"/>
          <w:bdr w:val="none" w:sz="0" w:space="0" w:color="auto" w:frame="1"/>
        </w:rPr>
        <w:t>^2050=1</w:t>
      </w:r>
      <w:r w:rsidRPr="007D7F19">
        <w:rPr>
          <w:rStyle w:val="katex-mathml"/>
          <w:rFonts w:ascii="Cambria Math" w:eastAsiaTheme="majorEastAsia" w:hAnsi="Cambria Math" w:cs="Cambria Math"/>
          <w:color w:val="FF0000"/>
          <w:bdr w:val="none" w:sz="0" w:space="0" w:color="auto" w:frame="1"/>
        </w:rPr>
        <w:t>𝑁</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𝑖</w:t>
      </w:r>
      <w:r w:rsidRPr="007D7F19">
        <w:rPr>
          <w:rStyle w:val="katex-mathml"/>
          <w:rFonts w:eastAsiaTheme="majorEastAsia"/>
          <w:color w:val="FF0000"/>
          <w:bdr w:val="none" w:sz="0" w:space="0" w:color="auto" w:frame="1"/>
        </w:rPr>
        <w:t>=1</w:t>
      </w:r>
      <w:r w:rsidRPr="007D7F19">
        <w:rPr>
          <w:rStyle w:val="katex-mathml"/>
          <w:rFonts w:ascii="Cambria Math" w:eastAsiaTheme="majorEastAsia" w:hAnsi="Cambria Math" w:cs="Cambria Math"/>
          <w:color w:val="FF0000"/>
          <w:bdr w:val="none" w:sz="0" w:space="0" w:color="auto" w:frame="1"/>
        </w:rPr>
        <w:t>𝑁𝑇𝑖</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y</w:t>
      </w:r>
      <w:r w:rsidRPr="007D7F19">
        <w:rPr>
          <w:rStyle w:val="mord"/>
          <w:rFonts w:eastAsiaTheme="majorEastAsia"/>
          <w:color w:val="FF0000"/>
          <w:bdr w:val="single" w:sz="2" w:space="0" w:color="E3E3E3" w:frame="1"/>
        </w:rPr>
        <w:t>^</w:t>
      </w:r>
      <w:r w:rsidRPr="007D7F19">
        <w:rPr>
          <w:rStyle w:val="vlist-s"/>
          <w:color w:val="FF0000"/>
          <w:bdr w:val="single" w:sz="2" w:space="0" w:color="E3E3E3" w:frame="1"/>
        </w:rPr>
        <w:t>​</w:t>
      </w:r>
      <w:r w:rsidRPr="007D7F19">
        <w:rPr>
          <w:rStyle w:val="mord"/>
          <w:rFonts w:eastAsiaTheme="majorEastAsia"/>
          <w:color w:val="FF0000"/>
          <w:bdr w:val="single" w:sz="2" w:space="0" w:color="E3E3E3" w:frame="1"/>
        </w:rPr>
        <w:t>2050</w:t>
      </w:r>
      <w:r w:rsidRPr="007D7F19">
        <w:rPr>
          <w:rStyle w:val="vlist-s"/>
          <w:color w:val="FF0000"/>
          <w:bdr w:val="single" w:sz="2" w:space="0" w:color="E3E3E3" w:frame="1"/>
        </w:rPr>
        <w:t>​</w:t>
      </w:r>
      <w:r w:rsidRPr="007D7F19">
        <w:rPr>
          <w:rStyle w:val="mrel"/>
          <w:color w:val="FF0000"/>
          <w:bdr w:val="single" w:sz="2" w:space="0" w:color="E3E3E3" w:frame="1"/>
        </w:rPr>
        <w:t>=</w:t>
      </w:r>
      <w:r w:rsidRPr="007D7F19">
        <w:rPr>
          <w:rStyle w:val="mord"/>
          <w:rFonts w:eastAsiaTheme="majorEastAsia"/>
          <w:i/>
          <w:iCs/>
          <w:color w:val="FF0000"/>
          <w:bdr w:val="single" w:sz="2" w:space="0" w:color="E3E3E3" w:frame="1"/>
        </w:rPr>
        <w:t>N</w:t>
      </w:r>
      <w:r w:rsidRPr="007D7F19">
        <w:rPr>
          <w:rStyle w:val="mord"/>
          <w:rFonts w:eastAsiaTheme="majorEastAsia"/>
          <w:color w:val="FF0000"/>
          <w:bdr w:val="single" w:sz="2" w:space="0" w:color="E3E3E3" w:frame="1"/>
        </w:rPr>
        <w:t>1</w:t>
      </w:r>
      <w:r w:rsidRPr="007D7F19">
        <w:rPr>
          <w:rStyle w:val="vlist-s"/>
          <w:color w:val="FF0000"/>
          <w:bdr w:val="single" w:sz="2" w:space="0" w:color="E3E3E3" w:frame="1"/>
        </w:rPr>
        <w:t>​</w:t>
      </w:r>
      <w:r w:rsidRPr="007D7F19">
        <w:rPr>
          <w:rStyle w:val="mop"/>
          <w:color w:val="FF0000"/>
          <w:bdr w:val="single" w:sz="2" w:space="0" w:color="E3E3E3" w:frame="1"/>
        </w:rPr>
        <w:t>∑</w:t>
      </w:r>
      <w:r w:rsidRPr="007D7F19">
        <w:rPr>
          <w:rStyle w:val="mord"/>
          <w:rFonts w:eastAsiaTheme="majorEastAsia"/>
          <w:i/>
          <w:iCs/>
          <w:color w:val="FF0000"/>
          <w:bdr w:val="single" w:sz="2" w:space="0" w:color="E3E3E3" w:frame="1"/>
        </w:rPr>
        <w:t>i</w:t>
      </w:r>
      <w:r w:rsidRPr="007D7F19">
        <w:rPr>
          <w:rStyle w:val="mrel"/>
          <w:color w:val="FF0000"/>
          <w:bdr w:val="single" w:sz="2" w:space="0" w:color="E3E3E3" w:frame="1"/>
        </w:rPr>
        <w:t>=</w:t>
      </w:r>
      <w:r w:rsidRPr="007D7F19">
        <w:rPr>
          <w:rStyle w:val="mord"/>
          <w:rFonts w:eastAsiaTheme="majorEastAsia"/>
          <w:color w:val="FF0000"/>
          <w:bdr w:val="single" w:sz="2" w:space="0" w:color="E3E3E3" w:frame="1"/>
        </w:rPr>
        <w:t>1</w:t>
      </w:r>
      <w:r w:rsidRPr="007D7F19">
        <w:rPr>
          <w:rStyle w:val="mord"/>
          <w:rFonts w:eastAsiaTheme="majorEastAsia"/>
          <w:i/>
          <w:iCs/>
          <w:color w:val="FF0000"/>
          <w:bdr w:val="single" w:sz="2" w:space="0" w:color="E3E3E3" w:frame="1"/>
        </w:rPr>
        <w:t>N</w:t>
      </w:r>
      <w:r w:rsidRPr="007D7F19">
        <w:rPr>
          <w:rStyle w:val="vlist-s"/>
          <w:color w:val="FF0000"/>
          <w:bdr w:val="single" w:sz="2" w:space="0" w:color="E3E3E3" w:frame="1"/>
        </w:rPr>
        <w:t>​</w:t>
      </w:r>
      <w:r w:rsidRPr="007D7F19">
        <w:rPr>
          <w:rStyle w:val="mord"/>
          <w:rFonts w:eastAsiaTheme="majorEastAsia"/>
          <w:i/>
          <w:iCs/>
          <w:color w:val="FF0000"/>
          <w:bdr w:val="single" w:sz="2" w:space="0" w:color="E3E3E3" w:frame="1"/>
        </w:rPr>
        <w:t>Ti</w:t>
      </w:r>
      <w:r w:rsidRPr="007D7F19">
        <w:rPr>
          <w:rStyle w:val="vlist-s"/>
          <w:color w:val="FF0000"/>
          <w:bdr w:val="single" w:sz="2" w:space="0" w:color="E3E3E3" w:frame="1"/>
        </w:rPr>
        <w:t>​</w:t>
      </w:r>
      <w:r w:rsidRPr="007D7F19">
        <w:rPr>
          <w:rStyle w:val="mopen"/>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2050</w:t>
      </w:r>
      <w:r w:rsidRPr="007D7F19">
        <w:rPr>
          <w:rStyle w:val="mclose"/>
          <w:color w:val="FF0000"/>
          <w:bdr w:val="single" w:sz="2" w:space="0" w:color="E3E3E3" w:frame="1"/>
        </w:rPr>
        <w:t>)</w:t>
      </w:r>
    </w:p>
    <w:p w14:paraId="05B902DC" w14:textId="77777777" w:rsidR="007D7F19" w:rsidRPr="007D7F19" w:rsidRDefault="007D7F19" w:rsidP="007D7F19">
      <w:pPr>
        <w:pStyle w:val="NormalWeb"/>
        <w:spacing w:before="300" w:beforeAutospacing="0" w:after="300" w:afterAutospacing="0" w:line="276" w:lineRule="auto"/>
        <w:jc w:val="both"/>
        <w:rPr>
          <w:color w:val="FF0000"/>
        </w:rPr>
      </w:pPr>
      <w:r w:rsidRPr="007D7F19">
        <w:rPr>
          <w:color w:val="FF0000"/>
        </w:rPr>
        <w:t xml:space="preserve">where </w:t>
      </w:r>
      <w:r w:rsidRPr="007D7F19">
        <w:rPr>
          <w:rStyle w:val="katex-mathml"/>
          <w:rFonts w:ascii="Cambria Math" w:eastAsiaTheme="majorEastAsia" w:hAnsi="Cambria Math" w:cs="Cambria Math"/>
          <w:color w:val="FF0000"/>
          <w:bdr w:val="none" w:sz="0" w:space="0" w:color="auto" w:frame="1"/>
        </w:rPr>
        <w:t>𝑁</w:t>
      </w:r>
      <w:r w:rsidRPr="007D7F19">
        <w:rPr>
          <w:rStyle w:val="mord"/>
          <w:rFonts w:eastAsiaTheme="majorEastAsia"/>
          <w:i/>
          <w:iCs/>
          <w:color w:val="FF0000"/>
          <w:bdr w:val="single" w:sz="2" w:space="0" w:color="E3E3E3" w:frame="1"/>
        </w:rPr>
        <w:t>N</w:t>
      </w:r>
      <w:r w:rsidRPr="007D7F19">
        <w:rPr>
          <w:color w:val="FF0000"/>
        </w:rPr>
        <w:t xml:space="preserve"> is the number of decision trees, and </w:t>
      </w:r>
      <w:r w:rsidRPr="007D7F19">
        <w:rPr>
          <w:rStyle w:val="katex-mathml"/>
          <w:rFonts w:ascii="Cambria Math" w:eastAsiaTheme="majorEastAsia" w:hAnsi="Cambria Math" w:cs="Cambria Math"/>
          <w:color w:val="FF0000"/>
          <w:bdr w:val="none" w:sz="0" w:space="0" w:color="auto" w:frame="1"/>
        </w:rPr>
        <w:t>𝑇𝑖</w:t>
      </w:r>
      <w:r w:rsidRPr="007D7F19">
        <w:rPr>
          <w:rStyle w:val="katex-mathml"/>
          <w:rFonts w:eastAsiaTheme="majorEastAsia"/>
          <w:color w:val="FF0000"/>
          <w:bdr w:val="none" w:sz="0" w:space="0" w:color="auto" w:frame="1"/>
        </w:rPr>
        <w:t>(</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Ti</w:t>
      </w:r>
      <w:r w:rsidRPr="007D7F19">
        <w:rPr>
          <w:rStyle w:val="vlist-s"/>
          <w:color w:val="FF0000"/>
          <w:bdr w:val="single" w:sz="2" w:space="0" w:color="E3E3E3" w:frame="1"/>
        </w:rPr>
        <w:t>​</w:t>
      </w:r>
      <w:r w:rsidRPr="007D7F19">
        <w:rPr>
          <w:rStyle w:val="mopen"/>
          <w:color w:val="FF0000"/>
          <w:bdr w:val="single" w:sz="2" w:space="0" w:color="E3E3E3" w:frame="1"/>
        </w:rPr>
        <w:t>(</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2050</w:t>
      </w:r>
      <w:r w:rsidRPr="007D7F19">
        <w:rPr>
          <w:rStyle w:val="mclose"/>
          <w:color w:val="FF0000"/>
          <w:bdr w:val="single" w:sz="2" w:space="0" w:color="E3E3E3" w:frame="1"/>
        </w:rPr>
        <w:t>)</w:t>
      </w:r>
      <w:r w:rsidRPr="007D7F19">
        <w:rPr>
          <w:color w:val="FF0000"/>
        </w:rPr>
        <w:t xml:space="preserve"> represents the prediction from the </w:t>
      </w:r>
      <w:r w:rsidRPr="007D7F19">
        <w:rPr>
          <w:rStyle w:val="katex-mathml"/>
          <w:rFonts w:ascii="Cambria Math" w:eastAsiaTheme="majorEastAsia" w:hAnsi="Cambria Math" w:cs="Cambria Math"/>
          <w:color w:val="FF0000"/>
          <w:bdr w:val="none" w:sz="0" w:space="0" w:color="auto" w:frame="1"/>
        </w:rPr>
        <w:t>𝑖</w:t>
      </w:r>
      <w:r w:rsidRPr="007D7F19">
        <w:rPr>
          <w:rStyle w:val="mord"/>
          <w:rFonts w:eastAsiaTheme="majorEastAsia"/>
          <w:i/>
          <w:iCs/>
          <w:color w:val="FF0000"/>
          <w:bdr w:val="single" w:sz="2" w:space="0" w:color="E3E3E3" w:frame="1"/>
        </w:rPr>
        <w:t>i</w:t>
      </w:r>
      <w:r w:rsidRPr="007D7F19">
        <w:rPr>
          <w:color w:val="FF0000"/>
        </w:rPr>
        <w:t xml:space="preserve">-th decision tree for the input </w:t>
      </w:r>
      <w:r w:rsidRPr="007D7F19">
        <w:rPr>
          <w:rStyle w:val="katex-mathml"/>
          <w:rFonts w:ascii="Cambria Math" w:eastAsiaTheme="majorEastAsia" w:hAnsi="Cambria Math" w:cs="Cambria Math"/>
          <w:color w:val="FF0000"/>
          <w:bdr w:val="none" w:sz="0" w:space="0" w:color="auto" w:frame="1"/>
        </w:rPr>
        <w:t>𝑥</w:t>
      </w:r>
      <w:r w:rsidRPr="007D7F19">
        <w:rPr>
          <w:rStyle w:val="katex-mathml"/>
          <w:rFonts w:eastAsiaTheme="majorEastAsia"/>
          <w:color w:val="FF0000"/>
          <w:bdr w:val="none" w:sz="0" w:space="0" w:color="auto" w:frame="1"/>
        </w:rPr>
        <w:t>2050</w:t>
      </w:r>
      <w:r w:rsidRPr="007D7F19">
        <w:rPr>
          <w:rStyle w:val="mord"/>
          <w:rFonts w:eastAsiaTheme="majorEastAsia"/>
          <w:i/>
          <w:iCs/>
          <w:color w:val="FF0000"/>
          <w:bdr w:val="single" w:sz="2" w:space="0" w:color="E3E3E3" w:frame="1"/>
        </w:rPr>
        <w:t>x</w:t>
      </w:r>
      <w:r w:rsidRPr="007D7F19">
        <w:rPr>
          <w:rStyle w:val="mord"/>
          <w:rFonts w:eastAsiaTheme="majorEastAsia"/>
          <w:color w:val="FF0000"/>
          <w:bdr w:val="single" w:sz="2" w:space="0" w:color="E3E3E3" w:frame="1"/>
        </w:rPr>
        <w:t>2050</w:t>
      </w:r>
      <w:r w:rsidRPr="007D7F19">
        <w:rPr>
          <w:color w:val="FF0000"/>
        </w:rPr>
        <w:t>.</w:t>
      </w:r>
    </w:p>
    <w:p w14:paraId="25AF6BC5" w14:textId="77777777" w:rsidR="007D7F19" w:rsidRPr="007D7F19" w:rsidRDefault="007D7F19" w:rsidP="007D7F19">
      <w:pPr>
        <w:pStyle w:val="NormalWeb"/>
        <w:spacing w:before="300" w:beforeAutospacing="0" w:after="300" w:afterAutospacing="0" w:line="276" w:lineRule="auto"/>
        <w:jc w:val="both"/>
        <w:rPr>
          <w:color w:val="FF0000"/>
        </w:rPr>
      </w:pPr>
      <w:r w:rsidRPr="007D7F19">
        <w:rPr>
          <w:color w:val="FF0000"/>
        </w:rPr>
        <w:t>Validation and uncertainty assessment are critical components of this methodology. Predicted SOC values for 2050 undergo rigorous validation using independent datasets or cross-validation techniques. Additionally, the uncertainty associated with extrapolated predictions is assessed, considering factors such as data quality, model assumptions, and the distance of extrapolation.</w:t>
      </w:r>
    </w:p>
    <w:p w14:paraId="55C620BC" w14:textId="77777777" w:rsidR="007D7F19" w:rsidRPr="007D7F19" w:rsidRDefault="007D7F19" w:rsidP="007D7F19">
      <w:pPr>
        <w:pStyle w:val="NormalWeb"/>
        <w:spacing w:before="300" w:beforeAutospacing="0" w:after="0" w:afterAutospacing="0" w:line="276" w:lineRule="auto"/>
        <w:jc w:val="both"/>
        <w:rPr>
          <w:color w:val="FF0000"/>
        </w:rPr>
      </w:pPr>
      <w:r w:rsidRPr="007D7F19">
        <w:rPr>
          <w:color w:val="FF0000"/>
        </w:rPr>
        <w:t>In conclusion, this methodology leverages Random Forest models trained on historical data to predict SOC levels for 2050 through extrapolation. By incorporating mathematical formulas and rigorous validation procedures, it provides a robust framework for forecasting SOC dynamics into the future, offering valuable insights for environmental management and decision-making.</w:t>
      </w:r>
    </w:p>
    <w:p w14:paraId="6A63AEF3" w14:textId="77777777" w:rsidR="007D7F19" w:rsidRPr="001430AF" w:rsidRDefault="007D7F19" w:rsidP="00613545">
      <w:pPr>
        <w:spacing w:line="276" w:lineRule="auto"/>
        <w:jc w:val="both"/>
        <w:rPr>
          <w:rStyle w:val="Hyperlink"/>
          <w:rFonts w:ascii="Times New Roman" w:hAnsi="Times New Roman" w:cs="Times New Roman"/>
          <w:color w:val="auto"/>
          <w:sz w:val="24"/>
          <w:szCs w:val="24"/>
          <w:u w:val="none"/>
        </w:rPr>
      </w:pPr>
    </w:p>
    <w:sectPr w:rsidR="007D7F19" w:rsidRPr="001430AF" w:rsidSect="002D5D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F6A6B"/>
    <w:multiLevelType w:val="hybridMultilevel"/>
    <w:tmpl w:val="B3426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6247F"/>
    <w:multiLevelType w:val="hybridMultilevel"/>
    <w:tmpl w:val="486CB0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807E7E"/>
    <w:multiLevelType w:val="hybridMultilevel"/>
    <w:tmpl w:val="EB4C8B3A"/>
    <w:lvl w:ilvl="0" w:tplc="EDDEE20E">
      <w:start w:val="1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B563D"/>
    <w:multiLevelType w:val="hybridMultilevel"/>
    <w:tmpl w:val="4718B17A"/>
    <w:lvl w:ilvl="0" w:tplc="ED6CDA90">
      <w:start w:val="1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96B98"/>
    <w:multiLevelType w:val="multilevel"/>
    <w:tmpl w:val="0FAA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4557EA"/>
    <w:multiLevelType w:val="hybridMultilevel"/>
    <w:tmpl w:val="8BFCC6E6"/>
    <w:lvl w:ilvl="0" w:tplc="A5460628">
      <w:start w:val="12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F90328"/>
    <w:multiLevelType w:val="hybridMultilevel"/>
    <w:tmpl w:val="0A7C75E8"/>
    <w:lvl w:ilvl="0" w:tplc="9DCE4FB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702779"/>
    <w:multiLevelType w:val="multilevel"/>
    <w:tmpl w:val="E98C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615FBB"/>
    <w:multiLevelType w:val="hybridMultilevel"/>
    <w:tmpl w:val="AFF03A74"/>
    <w:lvl w:ilvl="0" w:tplc="DA50C9D0">
      <w:start w:val="12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8144127">
    <w:abstractNumId w:val="8"/>
  </w:num>
  <w:num w:numId="2" w16cid:durableId="1949502039">
    <w:abstractNumId w:val="5"/>
  </w:num>
  <w:num w:numId="3" w16cid:durableId="248659026">
    <w:abstractNumId w:val="6"/>
  </w:num>
  <w:num w:numId="4" w16cid:durableId="408163842">
    <w:abstractNumId w:val="3"/>
  </w:num>
  <w:num w:numId="5" w16cid:durableId="368068502">
    <w:abstractNumId w:val="2"/>
  </w:num>
  <w:num w:numId="6" w16cid:durableId="1672374275">
    <w:abstractNumId w:val="0"/>
  </w:num>
  <w:num w:numId="7" w16cid:durableId="1700664728">
    <w:abstractNumId w:val="1"/>
  </w:num>
  <w:num w:numId="8" w16cid:durableId="152382179">
    <w:abstractNumId w:val="7"/>
  </w:num>
  <w:num w:numId="9" w16cid:durableId="342974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3B"/>
    <w:rsid w:val="00013E39"/>
    <w:rsid w:val="00014F4E"/>
    <w:rsid w:val="00016E0C"/>
    <w:rsid w:val="00022DD7"/>
    <w:rsid w:val="0002570B"/>
    <w:rsid w:val="00027338"/>
    <w:rsid w:val="000374E7"/>
    <w:rsid w:val="00042EF9"/>
    <w:rsid w:val="000434F3"/>
    <w:rsid w:val="000436BC"/>
    <w:rsid w:val="00063D64"/>
    <w:rsid w:val="00087850"/>
    <w:rsid w:val="000B55DA"/>
    <w:rsid w:val="000C0073"/>
    <w:rsid w:val="000D2B96"/>
    <w:rsid w:val="000D7D6E"/>
    <w:rsid w:val="000E280D"/>
    <w:rsid w:val="000E36E4"/>
    <w:rsid w:val="000E6632"/>
    <w:rsid w:val="000E66EB"/>
    <w:rsid w:val="001067F7"/>
    <w:rsid w:val="001129D4"/>
    <w:rsid w:val="00114BC5"/>
    <w:rsid w:val="00115509"/>
    <w:rsid w:val="00116663"/>
    <w:rsid w:val="001430AF"/>
    <w:rsid w:val="0015443B"/>
    <w:rsid w:val="0016135B"/>
    <w:rsid w:val="00164F6E"/>
    <w:rsid w:val="001665FF"/>
    <w:rsid w:val="00170EAD"/>
    <w:rsid w:val="00173DA3"/>
    <w:rsid w:val="0017592F"/>
    <w:rsid w:val="001A6670"/>
    <w:rsid w:val="001B6B60"/>
    <w:rsid w:val="001D71EE"/>
    <w:rsid w:val="001F44AE"/>
    <w:rsid w:val="001F5A69"/>
    <w:rsid w:val="00211B37"/>
    <w:rsid w:val="00222290"/>
    <w:rsid w:val="00222BC3"/>
    <w:rsid w:val="002334A6"/>
    <w:rsid w:val="00236BE6"/>
    <w:rsid w:val="00256E7F"/>
    <w:rsid w:val="002574E3"/>
    <w:rsid w:val="00261B57"/>
    <w:rsid w:val="00282EC5"/>
    <w:rsid w:val="0028530F"/>
    <w:rsid w:val="002933F8"/>
    <w:rsid w:val="002A5527"/>
    <w:rsid w:val="002D5D01"/>
    <w:rsid w:val="002D7888"/>
    <w:rsid w:val="002E2B6A"/>
    <w:rsid w:val="002E40C1"/>
    <w:rsid w:val="00300387"/>
    <w:rsid w:val="00302AF4"/>
    <w:rsid w:val="003111B7"/>
    <w:rsid w:val="00321B4F"/>
    <w:rsid w:val="003230C9"/>
    <w:rsid w:val="00341D0E"/>
    <w:rsid w:val="00343795"/>
    <w:rsid w:val="0035308F"/>
    <w:rsid w:val="0036732A"/>
    <w:rsid w:val="003673B7"/>
    <w:rsid w:val="0037337D"/>
    <w:rsid w:val="00375307"/>
    <w:rsid w:val="00382756"/>
    <w:rsid w:val="003852ED"/>
    <w:rsid w:val="003910C6"/>
    <w:rsid w:val="003B2E04"/>
    <w:rsid w:val="003D7F14"/>
    <w:rsid w:val="003E26EA"/>
    <w:rsid w:val="003E61FF"/>
    <w:rsid w:val="003F5555"/>
    <w:rsid w:val="00413B39"/>
    <w:rsid w:val="0042791A"/>
    <w:rsid w:val="004372F7"/>
    <w:rsid w:val="0044311B"/>
    <w:rsid w:val="004458C7"/>
    <w:rsid w:val="00447330"/>
    <w:rsid w:val="00481ADA"/>
    <w:rsid w:val="0049749F"/>
    <w:rsid w:val="004A7B75"/>
    <w:rsid w:val="004B292B"/>
    <w:rsid w:val="004B29D7"/>
    <w:rsid w:val="004B4E1B"/>
    <w:rsid w:val="004B7816"/>
    <w:rsid w:val="004C204D"/>
    <w:rsid w:val="004E51EA"/>
    <w:rsid w:val="004F3165"/>
    <w:rsid w:val="0050418F"/>
    <w:rsid w:val="005143EA"/>
    <w:rsid w:val="00515417"/>
    <w:rsid w:val="0052330F"/>
    <w:rsid w:val="0052391C"/>
    <w:rsid w:val="00533C46"/>
    <w:rsid w:val="005439A3"/>
    <w:rsid w:val="005453E3"/>
    <w:rsid w:val="005547B8"/>
    <w:rsid w:val="00562BFE"/>
    <w:rsid w:val="005741E8"/>
    <w:rsid w:val="00575617"/>
    <w:rsid w:val="00577A19"/>
    <w:rsid w:val="00581D5D"/>
    <w:rsid w:val="00597CE4"/>
    <w:rsid w:val="005A094B"/>
    <w:rsid w:val="005A5114"/>
    <w:rsid w:val="005B2374"/>
    <w:rsid w:val="005C7D86"/>
    <w:rsid w:val="005D1F75"/>
    <w:rsid w:val="005D3BF7"/>
    <w:rsid w:val="005E2164"/>
    <w:rsid w:val="005E516A"/>
    <w:rsid w:val="005F231B"/>
    <w:rsid w:val="005F7E3F"/>
    <w:rsid w:val="0061178D"/>
    <w:rsid w:val="00613545"/>
    <w:rsid w:val="00630A29"/>
    <w:rsid w:val="006344DC"/>
    <w:rsid w:val="00646D6E"/>
    <w:rsid w:val="00651E5C"/>
    <w:rsid w:val="00677919"/>
    <w:rsid w:val="006837B0"/>
    <w:rsid w:val="00685D87"/>
    <w:rsid w:val="006B2114"/>
    <w:rsid w:val="006D38DE"/>
    <w:rsid w:val="006D3A07"/>
    <w:rsid w:val="006D565E"/>
    <w:rsid w:val="006F0E2D"/>
    <w:rsid w:val="006F608F"/>
    <w:rsid w:val="00732ECB"/>
    <w:rsid w:val="00737321"/>
    <w:rsid w:val="00741E92"/>
    <w:rsid w:val="00752AA9"/>
    <w:rsid w:val="00761CC2"/>
    <w:rsid w:val="007627FA"/>
    <w:rsid w:val="00773239"/>
    <w:rsid w:val="00783C8B"/>
    <w:rsid w:val="007948CA"/>
    <w:rsid w:val="007A2045"/>
    <w:rsid w:val="007A4B31"/>
    <w:rsid w:val="007A6EBC"/>
    <w:rsid w:val="007B2CCD"/>
    <w:rsid w:val="007B384C"/>
    <w:rsid w:val="007B3B20"/>
    <w:rsid w:val="007B3E70"/>
    <w:rsid w:val="007C130C"/>
    <w:rsid w:val="007C2411"/>
    <w:rsid w:val="007C3794"/>
    <w:rsid w:val="007D0536"/>
    <w:rsid w:val="007D255F"/>
    <w:rsid w:val="007D7F19"/>
    <w:rsid w:val="007E6672"/>
    <w:rsid w:val="007E710A"/>
    <w:rsid w:val="007F38CC"/>
    <w:rsid w:val="007F7D34"/>
    <w:rsid w:val="00810DD0"/>
    <w:rsid w:val="008143BD"/>
    <w:rsid w:val="00816167"/>
    <w:rsid w:val="0081748A"/>
    <w:rsid w:val="00847E29"/>
    <w:rsid w:val="008528CE"/>
    <w:rsid w:val="00861A14"/>
    <w:rsid w:val="00864369"/>
    <w:rsid w:val="00870AAA"/>
    <w:rsid w:val="008710DA"/>
    <w:rsid w:val="0087207C"/>
    <w:rsid w:val="008738CF"/>
    <w:rsid w:val="00885181"/>
    <w:rsid w:val="008C06E3"/>
    <w:rsid w:val="008D7C68"/>
    <w:rsid w:val="008E0481"/>
    <w:rsid w:val="008E1CB9"/>
    <w:rsid w:val="008E2016"/>
    <w:rsid w:val="008E5B55"/>
    <w:rsid w:val="008E6A29"/>
    <w:rsid w:val="008F7F21"/>
    <w:rsid w:val="009054CE"/>
    <w:rsid w:val="00910838"/>
    <w:rsid w:val="009213D7"/>
    <w:rsid w:val="0092154C"/>
    <w:rsid w:val="00946FE6"/>
    <w:rsid w:val="00973734"/>
    <w:rsid w:val="0097398F"/>
    <w:rsid w:val="00993CB8"/>
    <w:rsid w:val="009B3529"/>
    <w:rsid w:val="009C15AE"/>
    <w:rsid w:val="009C6DE1"/>
    <w:rsid w:val="009E015F"/>
    <w:rsid w:val="009E22E9"/>
    <w:rsid w:val="009F230D"/>
    <w:rsid w:val="009F2407"/>
    <w:rsid w:val="00A00510"/>
    <w:rsid w:val="00A006B7"/>
    <w:rsid w:val="00A00C6E"/>
    <w:rsid w:val="00A15AB5"/>
    <w:rsid w:val="00A23FD5"/>
    <w:rsid w:val="00A26A99"/>
    <w:rsid w:val="00A43234"/>
    <w:rsid w:val="00A44670"/>
    <w:rsid w:val="00A44F37"/>
    <w:rsid w:val="00A67AA0"/>
    <w:rsid w:val="00A8061E"/>
    <w:rsid w:val="00A85FAD"/>
    <w:rsid w:val="00A86529"/>
    <w:rsid w:val="00A90D9B"/>
    <w:rsid w:val="00A95D09"/>
    <w:rsid w:val="00AA49BF"/>
    <w:rsid w:val="00AC01C2"/>
    <w:rsid w:val="00AD15EA"/>
    <w:rsid w:val="00AD31FE"/>
    <w:rsid w:val="00AD423B"/>
    <w:rsid w:val="00AE7193"/>
    <w:rsid w:val="00AF0044"/>
    <w:rsid w:val="00B002CB"/>
    <w:rsid w:val="00B01B28"/>
    <w:rsid w:val="00B02DF8"/>
    <w:rsid w:val="00B07DE2"/>
    <w:rsid w:val="00B21F3D"/>
    <w:rsid w:val="00B34C59"/>
    <w:rsid w:val="00B41CBA"/>
    <w:rsid w:val="00B43C89"/>
    <w:rsid w:val="00B852A8"/>
    <w:rsid w:val="00B90043"/>
    <w:rsid w:val="00B93CEE"/>
    <w:rsid w:val="00BA39C6"/>
    <w:rsid w:val="00BA42E0"/>
    <w:rsid w:val="00BB23A6"/>
    <w:rsid w:val="00BB7630"/>
    <w:rsid w:val="00BC5989"/>
    <w:rsid w:val="00BC5D33"/>
    <w:rsid w:val="00BD1B98"/>
    <w:rsid w:val="00BD3935"/>
    <w:rsid w:val="00BD68DE"/>
    <w:rsid w:val="00BF0650"/>
    <w:rsid w:val="00BF2E64"/>
    <w:rsid w:val="00BF465D"/>
    <w:rsid w:val="00BF7046"/>
    <w:rsid w:val="00C11D60"/>
    <w:rsid w:val="00C149FE"/>
    <w:rsid w:val="00C20F15"/>
    <w:rsid w:val="00C24B7B"/>
    <w:rsid w:val="00C2608B"/>
    <w:rsid w:val="00C43841"/>
    <w:rsid w:val="00C468DD"/>
    <w:rsid w:val="00C7194A"/>
    <w:rsid w:val="00C7705E"/>
    <w:rsid w:val="00C7735F"/>
    <w:rsid w:val="00C858D6"/>
    <w:rsid w:val="00C905B4"/>
    <w:rsid w:val="00CA39B7"/>
    <w:rsid w:val="00CA54B3"/>
    <w:rsid w:val="00CB23C5"/>
    <w:rsid w:val="00CC5065"/>
    <w:rsid w:val="00CC59D1"/>
    <w:rsid w:val="00CD3504"/>
    <w:rsid w:val="00CE52C0"/>
    <w:rsid w:val="00CF255F"/>
    <w:rsid w:val="00D2730E"/>
    <w:rsid w:val="00D3338C"/>
    <w:rsid w:val="00D37BFF"/>
    <w:rsid w:val="00D42FED"/>
    <w:rsid w:val="00D50AC7"/>
    <w:rsid w:val="00D67EB6"/>
    <w:rsid w:val="00D75336"/>
    <w:rsid w:val="00D854BC"/>
    <w:rsid w:val="00D92A1C"/>
    <w:rsid w:val="00DA343A"/>
    <w:rsid w:val="00DA736B"/>
    <w:rsid w:val="00DB254E"/>
    <w:rsid w:val="00DE07A5"/>
    <w:rsid w:val="00DE6D30"/>
    <w:rsid w:val="00DE7D1C"/>
    <w:rsid w:val="00DF006C"/>
    <w:rsid w:val="00E03A01"/>
    <w:rsid w:val="00E11BE0"/>
    <w:rsid w:val="00E13EF2"/>
    <w:rsid w:val="00E308FF"/>
    <w:rsid w:val="00E52483"/>
    <w:rsid w:val="00E6516A"/>
    <w:rsid w:val="00E74560"/>
    <w:rsid w:val="00E7589D"/>
    <w:rsid w:val="00E807D6"/>
    <w:rsid w:val="00E97334"/>
    <w:rsid w:val="00E9749A"/>
    <w:rsid w:val="00EB28CB"/>
    <w:rsid w:val="00ED628A"/>
    <w:rsid w:val="00EE2B71"/>
    <w:rsid w:val="00EE2DE4"/>
    <w:rsid w:val="00EF6205"/>
    <w:rsid w:val="00F125EA"/>
    <w:rsid w:val="00F204A8"/>
    <w:rsid w:val="00F23ED9"/>
    <w:rsid w:val="00F34813"/>
    <w:rsid w:val="00F75D93"/>
    <w:rsid w:val="00F92214"/>
    <w:rsid w:val="00FA46ED"/>
    <w:rsid w:val="00FB2065"/>
    <w:rsid w:val="00FE3F4B"/>
    <w:rsid w:val="00FE63D2"/>
    <w:rsid w:val="00FF0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FB56"/>
  <w15:chartTrackingRefBased/>
  <w15:docId w15:val="{B586E9BD-239A-45D2-8543-A6F457BD6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2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42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42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2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42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4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2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42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42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42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42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4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23B"/>
    <w:rPr>
      <w:rFonts w:eastAsiaTheme="majorEastAsia" w:cstheme="majorBidi"/>
      <w:color w:val="272727" w:themeColor="text1" w:themeTint="D8"/>
    </w:rPr>
  </w:style>
  <w:style w:type="paragraph" w:styleId="Title">
    <w:name w:val="Title"/>
    <w:basedOn w:val="Normal"/>
    <w:next w:val="Normal"/>
    <w:link w:val="TitleChar"/>
    <w:uiPriority w:val="10"/>
    <w:qFormat/>
    <w:rsid w:val="00AD4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2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23B"/>
    <w:pPr>
      <w:spacing w:before="160"/>
      <w:jc w:val="center"/>
    </w:pPr>
    <w:rPr>
      <w:i/>
      <w:iCs/>
      <w:color w:val="404040" w:themeColor="text1" w:themeTint="BF"/>
    </w:rPr>
  </w:style>
  <w:style w:type="character" w:customStyle="1" w:styleId="QuoteChar">
    <w:name w:val="Quote Char"/>
    <w:basedOn w:val="DefaultParagraphFont"/>
    <w:link w:val="Quote"/>
    <w:uiPriority w:val="29"/>
    <w:rsid w:val="00AD423B"/>
    <w:rPr>
      <w:i/>
      <w:iCs/>
      <w:color w:val="404040" w:themeColor="text1" w:themeTint="BF"/>
    </w:rPr>
  </w:style>
  <w:style w:type="paragraph" w:styleId="ListParagraph">
    <w:name w:val="List Paragraph"/>
    <w:basedOn w:val="Normal"/>
    <w:uiPriority w:val="34"/>
    <w:qFormat/>
    <w:rsid w:val="00AD423B"/>
    <w:pPr>
      <w:ind w:left="720"/>
      <w:contextualSpacing/>
    </w:pPr>
  </w:style>
  <w:style w:type="character" w:styleId="IntenseEmphasis">
    <w:name w:val="Intense Emphasis"/>
    <w:basedOn w:val="DefaultParagraphFont"/>
    <w:uiPriority w:val="21"/>
    <w:qFormat/>
    <w:rsid w:val="00AD423B"/>
    <w:rPr>
      <w:i/>
      <w:iCs/>
      <w:color w:val="0F4761" w:themeColor="accent1" w:themeShade="BF"/>
    </w:rPr>
  </w:style>
  <w:style w:type="paragraph" w:styleId="IntenseQuote">
    <w:name w:val="Intense Quote"/>
    <w:basedOn w:val="Normal"/>
    <w:next w:val="Normal"/>
    <w:link w:val="IntenseQuoteChar"/>
    <w:uiPriority w:val="30"/>
    <w:qFormat/>
    <w:rsid w:val="00AD4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23B"/>
    <w:rPr>
      <w:i/>
      <w:iCs/>
      <w:color w:val="0F4761" w:themeColor="accent1" w:themeShade="BF"/>
    </w:rPr>
  </w:style>
  <w:style w:type="character" w:styleId="IntenseReference">
    <w:name w:val="Intense Reference"/>
    <w:basedOn w:val="DefaultParagraphFont"/>
    <w:uiPriority w:val="32"/>
    <w:qFormat/>
    <w:rsid w:val="00AD423B"/>
    <w:rPr>
      <w:b/>
      <w:bCs/>
      <w:smallCaps/>
      <w:color w:val="0F4761" w:themeColor="accent1" w:themeShade="BF"/>
      <w:spacing w:val="5"/>
    </w:rPr>
  </w:style>
  <w:style w:type="paragraph" w:styleId="NormalWeb">
    <w:name w:val="Normal (Web)"/>
    <w:basedOn w:val="Normal"/>
    <w:uiPriority w:val="99"/>
    <w:semiHidden/>
    <w:unhideWhenUsed/>
    <w:rsid w:val="00AD42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81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3545"/>
    <w:rPr>
      <w:color w:val="467886" w:themeColor="hyperlink"/>
      <w:u w:val="single"/>
    </w:rPr>
  </w:style>
  <w:style w:type="character" w:styleId="UnresolvedMention">
    <w:name w:val="Unresolved Mention"/>
    <w:basedOn w:val="DefaultParagraphFont"/>
    <w:uiPriority w:val="99"/>
    <w:semiHidden/>
    <w:unhideWhenUsed/>
    <w:rsid w:val="00BD1B98"/>
    <w:rPr>
      <w:color w:val="605E5C"/>
      <w:shd w:val="clear" w:color="auto" w:fill="E1DFDD"/>
    </w:rPr>
  </w:style>
  <w:style w:type="character" w:styleId="FollowedHyperlink">
    <w:name w:val="FollowedHyperlink"/>
    <w:basedOn w:val="DefaultParagraphFont"/>
    <w:uiPriority w:val="99"/>
    <w:semiHidden/>
    <w:unhideWhenUsed/>
    <w:rsid w:val="00575617"/>
    <w:rPr>
      <w:color w:val="96607D" w:themeColor="followedHyperlink"/>
      <w:u w:val="single"/>
    </w:rPr>
  </w:style>
  <w:style w:type="character" w:customStyle="1" w:styleId="mord">
    <w:name w:val="mord"/>
    <w:basedOn w:val="DefaultParagraphFont"/>
    <w:rsid w:val="00BA42E0"/>
  </w:style>
  <w:style w:type="character" w:customStyle="1" w:styleId="vlist-s">
    <w:name w:val="vlist-s"/>
    <w:basedOn w:val="DefaultParagraphFont"/>
    <w:rsid w:val="00BA42E0"/>
  </w:style>
  <w:style w:type="character" w:customStyle="1" w:styleId="mopen">
    <w:name w:val="mopen"/>
    <w:basedOn w:val="DefaultParagraphFont"/>
    <w:rsid w:val="00BA42E0"/>
  </w:style>
  <w:style w:type="character" w:customStyle="1" w:styleId="mclose">
    <w:name w:val="mclose"/>
    <w:basedOn w:val="DefaultParagraphFont"/>
    <w:rsid w:val="00BA42E0"/>
  </w:style>
  <w:style w:type="character" w:customStyle="1" w:styleId="mrel">
    <w:name w:val="mrel"/>
    <w:basedOn w:val="DefaultParagraphFont"/>
    <w:rsid w:val="00BA42E0"/>
  </w:style>
  <w:style w:type="character" w:customStyle="1" w:styleId="mop">
    <w:name w:val="mop"/>
    <w:basedOn w:val="DefaultParagraphFont"/>
    <w:rsid w:val="00BA42E0"/>
  </w:style>
  <w:style w:type="character" w:customStyle="1" w:styleId="katex-mathml">
    <w:name w:val="katex-mathml"/>
    <w:basedOn w:val="DefaultParagraphFont"/>
    <w:rsid w:val="00BA42E0"/>
  </w:style>
  <w:style w:type="character" w:customStyle="1" w:styleId="delimsizing">
    <w:name w:val="delimsizing"/>
    <w:basedOn w:val="DefaultParagraphFont"/>
    <w:rsid w:val="001430AF"/>
  </w:style>
  <w:style w:type="character" w:styleId="Strong">
    <w:name w:val="Strong"/>
    <w:basedOn w:val="DefaultParagraphFont"/>
    <w:uiPriority w:val="22"/>
    <w:qFormat/>
    <w:rsid w:val="001430AF"/>
    <w:rPr>
      <w:b/>
      <w:bCs/>
    </w:rPr>
  </w:style>
  <w:style w:type="character" w:customStyle="1" w:styleId="mbin">
    <w:name w:val="mbin"/>
    <w:basedOn w:val="DefaultParagraphFont"/>
    <w:rsid w:val="001430AF"/>
  </w:style>
  <w:style w:type="character" w:customStyle="1" w:styleId="mpunct">
    <w:name w:val="mpunct"/>
    <w:basedOn w:val="DefaultParagraphFont"/>
    <w:rsid w:val="007D7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5649">
      <w:bodyDiv w:val="1"/>
      <w:marLeft w:val="0"/>
      <w:marRight w:val="0"/>
      <w:marTop w:val="0"/>
      <w:marBottom w:val="0"/>
      <w:divBdr>
        <w:top w:val="none" w:sz="0" w:space="0" w:color="auto"/>
        <w:left w:val="none" w:sz="0" w:space="0" w:color="auto"/>
        <w:bottom w:val="none" w:sz="0" w:space="0" w:color="auto"/>
        <w:right w:val="none" w:sz="0" w:space="0" w:color="auto"/>
      </w:divBdr>
    </w:div>
    <w:div w:id="184754503">
      <w:bodyDiv w:val="1"/>
      <w:marLeft w:val="0"/>
      <w:marRight w:val="0"/>
      <w:marTop w:val="0"/>
      <w:marBottom w:val="0"/>
      <w:divBdr>
        <w:top w:val="none" w:sz="0" w:space="0" w:color="auto"/>
        <w:left w:val="none" w:sz="0" w:space="0" w:color="auto"/>
        <w:bottom w:val="none" w:sz="0" w:space="0" w:color="auto"/>
        <w:right w:val="none" w:sz="0" w:space="0" w:color="auto"/>
      </w:divBdr>
    </w:div>
    <w:div w:id="250239152">
      <w:bodyDiv w:val="1"/>
      <w:marLeft w:val="0"/>
      <w:marRight w:val="0"/>
      <w:marTop w:val="0"/>
      <w:marBottom w:val="0"/>
      <w:divBdr>
        <w:top w:val="none" w:sz="0" w:space="0" w:color="auto"/>
        <w:left w:val="none" w:sz="0" w:space="0" w:color="auto"/>
        <w:bottom w:val="none" w:sz="0" w:space="0" w:color="auto"/>
        <w:right w:val="none" w:sz="0" w:space="0" w:color="auto"/>
      </w:divBdr>
    </w:div>
    <w:div w:id="300505033">
      <w:bodyDiv w:val="1"/>
      <w:marLeft w:val="0"/>
      <w:marRight w:val="0"/>
      <w:marTop w:val="0"/>
      <w:marBottom w:val="0"/>
      <w:divBdr>
        <w:top w:val="none" w:sz="0" w:space="0" w:color="auto"/>
        <w:left w:val="none" w:sz="0" w:space="0" w:color="auto"/>
        <w:bottom w:val="none" w:sz="0" w:space="0" w:color="auto"/>
        <w:right w:val="none" w:sz="0" w:space="0" w:color="auto"/>
      </w:divBdr>
    </w:div>
    <w:div w:id="364643170">
      <w:bodyDiv w:val="1"/>
      <w:marLeft w:val="0"/>
      <w:marRight w:val="0"/>
      <w:marTop w:val="0"/>
      <w:marBottom w:val="0"/>
      <w:divBdr>
        <w:top w:val="none" w:sz="0" w:space="0" w:color="auto"/>
        <w:left w:val="none" w:sz="0" w:space="0" w:color="auto"/>
        <w:bottom w:val="none" w:sz="0" w:space="0" w:color="auto"/>
        <w:right w:val="none" w:sz="0" w:space="0" w:color="auto"/>
      </w:divBdr>
      <w:divsChild>
        <w:div w:id="648754029">
          <w:marLeft w:val="0"/>
          <w:marRight w:val="0"/>
          <w:marTop w:val="0"/>
          <w:marBottom w:val="0"/>
          <w:divBdr>
            <w:top w:val="single" w:sz="2" w:space="0" w:color="E3E3E3"/>
            <w:left w:val="single" w:sz="2" w:space="0" w:color="E3E3E3"/>
            <w:bottom w:val="single" w:sz="2" w:space="0" w:color="E3E3E3"/>
            <w:right w:val="single" w:sz="2" w:space="0" w:color="E3E3E3"/>
          </w:divBdr>
        </w:div>
        <w:div w:id="2073699511">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430395789">
      <w:bodyDiv w:val="1"/>
      <w:marLeft w:val="0"/>
      <w:marRight w:val="0"/>
      <w:marTop w:val="0"/>
      <w:marBottom w:val="0"/>
      <w:divBdr>
        <w:top w:val="none" w:sz="0" w:space="0" w:color="auto"/>
        <w:left w:val="none" w:sz="0" w:space="0" w:color="auto"/>
        <w:bottom w:val="none" w:sz="0" w:space="0" w:color="auto"/>
        <w:right w:val="none" w:sz="0" w:space="0" w:color="auto"/>
      </w:divBdr>
    </w:div>
    <w:div w:id="874342474">
      <w:bodyDiv w:val="1"/>
      <w:marLeft w:val="0"/>
      <w:marRight w:val="0"/>
      <w:marTop w:val="0"/>
      <w:marBottom w:val="0"/>
      <w:divBdr>
        <w:top w:val="none" w:sz="0" w:space="0" w:color="auto"/>
        <w:left w:val="none" w:sz="0" w:space="0" w:color="auto"/>
        <w:bottom w:val="none" w:sz="0" w:space="0" w:color="auto"/>
        <w:right w:val="none" w:sz="0" w:space="0" w:color="auto"/>
      </w:divBdr>
    </w:div>
    <w:div w:id="996690135">
      <w:bodyDiv w:val="1"/>
      <w:marLeft w:val="0"/>
      <w:marRight w:val="0"/>
      <w:marTop w:val="0"/>
      <w:marBottom w:val="0"/>
      <w:divBdr>
        <w:top w:val="none" w:sz="0" w:space="0" w:color="auto"/>
        <w:left w:val="none" w:sz="0" w:space="0" w:color="auto"/>
        <w:bottom w:val="none" w:sz="0" w:space="0" w:color="auto"/>
        <w:right w:val="none" w:sz="0" w:space="0" w:color="auto"/>
      </w:divBdr>
    </w:div>
    <w:div w:id="1061711173">
      <w:bodyDiv w:val="1"/>
      <w:marLeft w:val="0"/>
      <w:marRight w:val="0"/>
      <w:marTop w:val="0"/>
      <w:marBottom w:val="0"/>
      <w:divBdr>
        <w:top w:val="none" w:sz="0" w:space="0" w:color="auto"/>
        <w:left w:val="none" w:sz="0" w:space="0" w:color="auto"/>
        <w:bottom w:val="none" w:sz="0" w:space="0" w:color="auto"/>
        <w:right w:val="none" w:sz="0" w:space="0" w:color="auto"/>
      </w:divBdr>
    </w:div>
    <w:div w:id="1129125306">
      <w:bodyDiv w:val="1"/>
      <w:marLeft w:val="0"/>
      <w:marRight w:val="0"/>
      <w:marTop w:val="0"/>
      <w:marBottom w:val="0"/>
      <w:divBdr>
        <w:top w:val="none" w:sz="0" w:space="0" w:color="auto"/>
        <w:left w:val="none" w:sz="0" w:space="0" w:color="auto"/>
        <w:bottom w:val="none" w:sz="0" w:space="0" w:color="auto"/>
        <w:right w:val="none" w:sz="0" w:space="0" w:color="auto"/>
      </w:divBdr>
    </w:div>
    <w:div w:id="1265500779">
      <w:bodyDiv w:val="1"/>
      <w:marLeft w:val="0"/>
      <w:marRight w:val="0"/>
      <w:marTop w:val="0"/>
      <w:marBottom w:val="0"/>
      <w:divBdr>
        <w:top w:val="none" w:sz="0" w:space="0" w:color="auto"/>
        <w:left w:val="none" w:sz="0" w:space="0" w:color="auto"/>
        <w:bottom w:val="none" w:sz="0" w:space="0" w:color="auto"/>
        <w:right w:val="none" w:sz="0" w:space="0" w:color="auto"/>
      </w:divBdr>
    </w:div>
    <w:div w:id="1278608291">
      <w:bodyDiv w:val="1"/>
      <w:marLeft w:val="0"/>
      <w:marRight w:val="0"/>
      <w:marTop w:val="0"/>
      <w:marBottom w:val="0"/>
      <w:divBdr>
        <w:top w:val="none" w:sz="0" w:space="0" w:color="auto"/>
        <w:left w:val="none" w:sz="0" w:space="0" w:color="auto"/>
        <w:bottom w:val="none" w:sz="0" w:space="0" w:color="auto"/>
        <w:right w:val="none" w:sz="0" w:space="0" w:color="auto"/>
      </w:divBdr>
    </w:div>
    <w:div w:id="1574315313">
      <w:bodyDiv w:val="1"/>
      <w:marLeft w:val="0"/>
      <w:marRight w:val="0"/>
      <w:marTop w:val="0"/>
      <w:marBottom w:val="0"/>
      <w:divBdr>
        <w:top w:val="none" w:sz="0" w:space="0" w:color="auto"/>
        <w:left w:val="none" w:sz="0" w:space="0" w:color="auto"/>
        <w:bottom w:val="none" w:sz="0" w:space="0" w:color="auto"/>
        <w:right w:val="none" w:sz="0" w:space="0" w:color="auto"/>
      </w:divBdr>
    </w:div>
    <w:div w:id="1595821868">
      <w:bodyDiv w:val="1"/>
      <w:marLeft w:val="0"/>
      <w:marRight w:val="0"/>
      <w:marTop w:val="0"/>
      <w:marBottom w:val="0"/>
      <w:divBdr>
        <w:top w:val="none" w:sz="0" w:space="0" w:color="auto"/>
        <w:left w:val="none" w:sz="0" w:space="0" w:color="auto"/>
        <w:bottom w:val="none" w:sz="0" w:space="0" w:color="auto"/>
        <w:right w:val="none" w:sz="0" w:space="0" w:color="auto"/>
      </w:divBdr>
    </w:div>
    <w:div w:id="1671830866">
      <w:bodyDiv w:val="1"/>
      <w:marLeft w:val="0"/>
      <w:marRight w:val="0"/>
      <w:marTop w:val="0"/>
      <w:marBottom w:val="0"/>
      <w:divBdr>
        <w:top w:val="none" w:sz="0" w:space="0" w:color="auto"/>
        <w:left w:val="none" w:sz="0" w:space="0" w:color="auto"/>
        <w:bottom w:val="none" w:sz="0" w:space="0" w:color="auto"/>
        <w:right w:val="none" w:sz="0" w:space="0" w:color="auto"/>
      </w:divBdr>
      <w:divsChild>
        <w:div w:id="5181642">
          <w:marLeft w:val="0"/>
          <w:marRight w:val="0"/>
          <w:marTop w:val="0"/>
          <w:marBottom w:val="0"/>
          <w:divBdr>
            <w:top w:val="single" w:sz="2" w:space="0" w:color="E3E3E3"/>
            <w:left w:val="single" w:sz="2" w:space="0" w:color="E3E3E3"/>
            <w:bottom w:val="single" w:sz="2" w:space="0" w:color="E3E3E3"/>
            <w:right w:val="single" w:sz="2" w:space="0" w:color="E3E3E3"/>
          </w:divBdr>
        </w:div>
        <w:div w:id="655110193">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682001063">
      <w:bodyDiv w:val="1"/>
      <w:marLeft w:val="0"/>
      <w:marRight w:val="0"/>
      <w:marTop w:val="0"/>
      <w:marBottom w:val="0"/>
      <w:divBdr>
        <w:top w:val="none" w:sz="0" w:space="0" w:color="auto"/>
        <w:left w:val="none" w:sz="0" w:space="0" w:color="auto"/>
        <w:bottom w:val="none" w:sz="0" w:space="0" w:color="auto"/>
        <w:right w:val="none" w:sz="0" w:space="0" w:color="auto"/>
      </w:divBdr>
    </w:div>
    <w:div w:id="1688677891">
      <w:bodyDiv w:val="1"/>
      <w:marLeft w:val="0"/>
      <w:marRight w:val="0"/>
      <w:marTop w:val="0"/>
      <w:marBottom w:val="0"/>
      <w:divBdr>
        <w:top w:val="none" w:sz="0" w:space="0" w:color="auto"/>
        <w:left w:val="none" w:sz="0" w:space="0" w:color="auto"/>
        <w:bottom w:val="none" w:sz="0" w:space="0" w:color="auto"/>
        <w:right w:val="none" w:sz="0" w:space="0" w:color="auto"/>
      </w:divBdr>
      <w:divsChild>
        <w:div w:id="189222912">
          <w:marLeft w:val="0"/>
          <w:marRight w:val="0"/>
          <w:marTop w:val="0"/>
          <w:marBottom w:val="0"/>
          <w:divBdr>
            <w:top w:val="single" w:sz="2" w:space="0" w:color="E3E3E3"/>
            <w:left w:val="single" w:sz="2" w:space="0" w:color="E3E3E3"/>
            <w:bottom w:val="single" w:sz="2" w:space="0" w:color="E3E3E3"/>
            <w:right w:val="single" w:sz="2" w:space="0" w:color="E3E3E3"/>
          </w:divBdr>
        </w:div>
        <w:div w:id="908226710">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779253997">
      <w:bodyDiv w:val="1"/>
      <w:marLeft w:val="0"/>
      <w:marRight w:val="0"/>
      <w:marTop w:val="0"/>
      <w:marBottom w:val="0"/>
      <w:divBdr>
        <w:top w:val="none" w:sz="0" w:space="0" w:color="auto"/>
        <w:left w:val="none" w:sz="0" w:space="0" w:color="auto"/>
        <w:bottom w:val="none" w:sz="0" w:space="0" w:color="auto"/>
        <w:right w:val="none" w:sz="0" w:space="0" w:color="auto"/>
      </w:divBdr>
    </w:div>
    <w:div w:id="212653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16/bs.agron.2024.02.00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s://doi.org/10.1016/j.landusepol.2023.106862" TargetMode="External"/><Relationship Id="rId17" Type="http://schemas.openxmlformats.org/officeDocument/2006/relationships/hyperlink" Target="https://doi.org/10.1038/s41598-017-15794-8" TargetMode="External"/><Relationship Id="rId2" Type="http://schemas.openxmlformats.org/officeDocument/2006/relationships/styles" Target="styles.xml"/><Relationship Id="rId16" Type="http://schemas.openxmlformats.org/officeDocument/2006/relationships/hyperlink" Target="https://doi.org/10.1016/j.jclepro.2023.13998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16/j.resconrec.2024.107530"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38/s41597-020-037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2625</TotalTime>
  <Pages>1</Pages>
  <Words>6647</Words>
  <Characters>37889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Chukwudi Nwaogu</dc:creator>
  <cp:keywords/>
  <dc:description/>
  <cp:lastModifiedBy>DA45377</cp:lastModifiedBy>
  <cp:revision>203</cp:revision>
  <dcterms:created xsi:type="dcterms:W3CDTF">2024-03-08T10:42:00Z</dcterms:created>
  <dcterms:modified xsi:type="dcterms:W3CDTF">2024-05-17T11:22:00Z</dcterms:modified>
</cp:coreProperties>
</file>