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4EF4E" w14:textId="6F6B178C" w:rsidR="001B4E2D" w:rsidRDefault="00D50B35">
      <w:pPr>
        <w:spacing w:before="800"/>
      </w:pPr>
      <w:r>
        <w:t xml:space="preserve">  </w:t>
      </w:r>
      <w:r>
        <w:tab/>
      </w:r>
      <w:r>
        <w:tab/>
      </w:r>
      <w:r>
        <w:tab/>
      </w:r>
      <w:r>
        <w:tab/>
      </w:r>
      <w:r>
        <w:rPr>
          <w:noProof/>
          <w:color w:val="5A6B7B"/>
        </w:rPr>
        <w:drawing>
          <wp:inline distT="0" distB="0" distL="0" distR="0" wp14:anchorId="16CA7691" wp14:editId="703344A8">
            <wp:extent cx="2514600" cy="1409700"/>
            <wp:effectExtent l="0" t="0" r="0" b="0"/>
            <wp:docPr id="6474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14600" cy="1409700"/>
                    </a:xfrm>
                    <a:prstGeom prst="rect">
                      <a:avLst/>
                    </a:prstGeom>
                    <a:noFill/>
                    <a:ln>
                      <a:noFill/>
                    </a:ln>
                  </pic:spPr>
                </pic:pic>
              </a:graphicData>
            </a:graphic>
          </wp:inline>
        </w:drawing>
      </w:r>
    </w:p>
    <w:p w14:paraId="33639076" w14:textId="77777777" w:rsidR="00D50B35" w:rsidRDefault="00D50B35">
      <w:pPr>
        <w:spacing w:before="800"/>
      </w:pPr>
    </w:p>
    <w:p w14:paraId="7F7D3CF4" w14:textId="77777777" w:rsidR="001B4E2D" w:rsidRDefault="00000000">
      <w:pPr>
        <w:spacing w:after="200"/>
        <w:jc w:val="center"/>
      </w:pPr>
      <w:r>
        <w:rPr>
          <w:b/>
          <w:bCs/>
          <w:color w:val="1F3864"/>
          <w:sz w:val="30"/>
          <w:szCs w:val="30"/>
        </w:rPr>
        <w:t>VELLORE INSTITUTE OF TECHNOLOGY</w:t>
      </w:r>
    </w:p>
    <w:p w14:paraId="029850A2" w14:textId="77777777" w:rsidR="001B4E2D" w:rsidRDefault="00000000">
      <w:pPr>
        <w:spacing w:after="700"/>
        <w:jc w:val="center"/>
      </w:pPr>
      <w:r>
        <w:rPr>
          <w:i/>
          <w:iCs/>
          <w:color w:val="5A6B7B"/>
          <w:sz w:val="24"/>
          <w:szCs w:val="24"/>
        </w:rPr>
        <w:t>Case Study Report — Cloud Computing / AWS Architecture</w:t>
      </w:r>
    </w:p>
    <w:p w14:paraId="285A1139" w14:textId="77777777" w:rsidR="001B4E2D" w:rsidRDefault="001B4E2D">
      <w:pPr>
        <w:spacing w:before="900"/>
      </w:pPr>
    </w:p>
    <w:p w14:paraId="22537E4B" w14:textId="77777777" w:rsidR="001B4E2D" w:rsidRDefault="00000000">
      <w:pPr>
        <w:spacing w:after="100"/>
        <w:jc w:val="center"/>
      </w:pPr>
      <w:r>
        <w:rPr>
          <w:b/>
          <w:bCs/>
          <w:color w:val="1F3864"/>
          <w:sz w:val="46"/>
          <w:szCs w:val="46"/>
        </w:rPr>
        <w:t>Cloud Intent Guardian</w:t>
      </w:r>
    </w:p>
    <w:p w14:paraId="7820D1C5" w14:textId="77777777" w:rsidR="001B4E2D" w:rsidRDefault="00000000">
      <w:pPr>
        <w:spacing w:after="900"/>
        <w:jc w:val="center"/>
      </w:pPr>
      <w:r>
        <w:rPr>
          <w:b/>
          <w:bCs/>
          <w:color w:val="B45309"/>
          <w:sz w:val="26"/>
          <w:szCs w:val="26"/>
        </w:rPr>
        <w:t>An Intent-Aware Architecture Compliance and Drift Detection Platform for AWS</w:t>
      </w:r>
    </w:p>
    <w:p w14:paraId="1E1C5A32" w14:textId="77777777" w:rsidR="001B4E2D" w:rsidRDefault="001B4E2D">
      <w:pPr>
        <w:spacing w:before="900"/>
      </w:pPr>
    </w:p>
    <w:p w14:paraId="40BCEBBB" w14:textId="77777777" w:rsidR="001B4E2D" w:rsidRDefault="00000000">
      <w:pPr>
        <w:spacing w:after="60"/>
        <w:jc w:val="center"/>
      </w:pPr>
      <w:r>
        <w:rPr>
          <w:color w:val="5A6B7B"/>
        </w:rPr>
        <w:t>Submitted by</w:t>
      </w:r>
    </w:p>
    <w:p w14:paraId="2AAC4E49" w14:textId="4BCA44F9" w:rsidR="001B4E2D" w:rsidRDefault="00DE0682">
      <w:pPr>
        <w:spacing w:after="60"/>
        <w:jc w:val="center"/>
        <w:rPr>
          <w:b/>
          <w:bCs/>
          <w:sz w:val="26"/>
          <w:szCs w:val="26"/>
        </w:rPr>
      </w:pPr>
      <w:r>
        <w:rPr>
          <w:b/>
          <w:bCs/>
          <w:sz w:val="26"/>
          <w:szCs w:val="26"/>
        </w:rPr>
        <w:t>Samanyu Pattanayak (24BCE0530)</w:t>
      </w:r>
    </w:p>
    <w:p w14:paraId="0034DF6D" w14:textId="1B04B1C3" w:rsidR="00DE0682" w:rsidRDefault="00DE0682" w:rsidP="00DE0682">
      <w:pPr>
        <w:spacing w:after="60"/>
        <w:jc w:val="center"/>
        <w:rPr>
          <w:b/>
          <w:bCs/>
          <w:sz w:val="26"/>
          <w:szCs w:val="26"/>
        </w:rPr>
      </w:pPr>
      <w:r w:rsidRPr="00DE0682">
        <w:rPr>
          <w:b/>
          <w:bCs/>
          <w:sz w:val="26"/>
          <w:szCs w:val="26"/>
        </w:rPr>
        <w:t xml:space="preserve">Ryan Filipe Fernandes </w:t>
      </w:r>
      <w:r>
        <w:rPr>
          <w:b/>
          <w:bCs/>
          <w:sz w:val="26"/>
          <w:szCs w:val="26"/>
        </w:rPr>
        <w:t>(</w:t>
      </w:r>
      <w:r w:rsidRPr="00DE0682">
        <w:rPr>
          <w:b/>
          <w:bCs/>
          <w:sz w:val="26"/>
          <w:szCs w:val="26"/>
        </w:rPr>
        <w:t>24BCE0565</w:t>
      </w:r>
      <w:r>
        <w:rPr>
          <w:b/>
          <w:bCs/>
          <w:sz w:val="26"/>
          <w:szCs w:val="26"/>
        </w:rPr>
        <w:t>)</w:t>
      </w:r>
    </w:p>
    <w:p w14:paraId="726C3F6B" w14:textId="26F18710" w:rsidR="00DE0682" w:rsidRPr="00DE0682" w:rsidRDefault="00DE0682" w:rsidP="00DE0682">
      <w:pPr>
        <w:spacing w:after="60"/>
        <w:jc w:val="center"/>
        <w:rPr>
          <w:b/>
          <w:bCs/>
          <w:sz w:val="26"/>
          <w:szCs w:val="26"/>
        </w:rPr>
      </w:pPr>
      <w:r w:rsidRPr="00DE0682">
        <w:rPr>
          <w:b/>
          <w:bCs/>
          <w:sz w:val="26"/>
          <w:szCs w:val="26"/>
        </w:rPr>
        <w:t xml:space="preserve">Aritra Ghosh </w:t>
      </w:r>
      <w:r>
        <w:rPr>
          <w:b/>
          <w:bCs/>
          <w:sz w:val="26"/>
          <w:szCs w:val="26"/>
        </w:rPr>
        <w:t>(</w:t>
      </w:r>
      <w:r w:rsidRPr="00DE0682">
        <w:rPr>
          <w:b/>
          <w:bCs/>
          <w:sz w:val="26"/>
          <w:szCs w:val="26"/>
        </w:rPr>
        <w:t>24BCE0598</w:t>
      </w:r>
      <w:r>
        <w:rPr>
          <w:b/>
          <w:bCs/>
          <w:sz w:val="26"/>
          <w:szCs w:val="26"/>
        </w:rPr>
        <w:t>)</w:t>
      </w:r>
    </w:p>
    <w:p w14:paraId="07B57BF4" w14:textId="77B4AD0B" w:rsidR="00DE0682" w:rsidRPr="00DE0682" w:rsidRDefault="00000000" w:rsidP="00DE0682">
      <w:pPr>
        <w:spacing w:after="700"/>
        <w:jc w:val="center"/>
      </w:pPr>
      <w:r>
        <w:rPr>
          <w:color w:val="5A6B7B"/>
        </w:rPr>
        <w:t>Vellore Institute of Technology (VIT)</w:t>
      </w:r>
    </w:p>
    <w:p w14:paraId="1822712E" w14:textId="77777777" w:rsidR="00DE0682" w:rsidRDefault="00DE0682">
      <w:pPr>
        <w:jc w:val="center"/>
        <w:rPr>
          <w:color w:val="5A6B7B"/>
        </w:rPr>
      </w:pPr>
    </w:p>
    <w:p w14:paraId="0AB5630B" w14:textId="4CB99A5B" w:rsidR="00DE0682" w:rsidRDefault="00DE0682">
      <w:pPr>
        <w:jc w:val="center"/>
        <w:rPr>
          <w:color w:val="5A6B7B"/>
        </w:rPr>
      </w:pPr>
    </w:p>
    <w:p w14:paraId="3EF9100B" w14:textId="77777777" w:rsidR="00DE0682" w:rsidRDefault="00DE0682">
      <w:pPr>
        <w:jc w:val="center"/>
        <w:rPr>
          <w:color w:val="5A6B7B"/>
        </w:rPr>
      </w:pPr>
    </w:p>
    <w:p w14:paraId="5A69023D" w14:textId="77777777" w:rsidR="00DE0682" w:rsidRDefault="00DE0682">
      <w:pPr>
        <w:jc w:val="center"/>
        <w:rPr>
          <w:color w:val="5A6B7B"/>
        </w:rPr>
      </w:pPr>
    </w:p>
    <w:p w14:paraId="38039A27" w14:textId="77777777" w:rsidR="00DE0682" w:rsidRDefault="00DE0682">
      <w:pPr>
        <w:jc w:val="center"/>
        <w:rPr>
          <w:color w:val="5A6B7B"/>
        </w:rPr>
      </w:pPr>
    </w:p>
    <w:p w14:paraId="41596BEF" w14:textId="77777777" w:rsidR="00DE0682" w:rsidRDefault="00DE0682">
      <w:pPr>
        <w:jc w:val="center"/>
        <w:rPr>
          <w:color w:val="5A6B7B"/>
        </w:rPr>
      </w:pPr>
    </w:p>
    <w:p w14:paraId="5B10A9C7" w14:textId="77777777" w:rsidR="00DE0682" w:rsidRDefault="00DE0682">
      <w:pPr>
        <w:jc w:val="center"/>
        <w:rPr>
          <w:color w:val="5A6B7B"/>
        </w:rPr>
      </w:pPr>
    </w:p>
    <w:p w14:paraId="3333542E" w14:textId="77777777" w:rsidR="00DE0682" w:rsidRDefault="00DE0682">
      <w:pPr>
        <w:jc w:val="center"/>
        <w:rPr>
          <w:color w:val="5A6B7B"/>
        </w:rPr>
      </w:pPr>
    </w:p>
    <w:p w14:paraId="21AB05BA" w14:textId="77777777" w:rsidR="00DE0682" w:rsidRDefault="00DE0682">
      <w:pPr>
        <w:jc w:val="center"/>
        <w:rPr>
          <w:color w:val="5A6B7B"/>
        </w:rPr>
      </w:pPr>
    </w:p>
    <w:p w14:paraId="6F1C896C" w14:textId="77777777" w:rsidR="00DE0682" w:rsidRDefault="00DE0682">
      <w:pPr>
        <w:jc w:val="center"/>
        <w:rPr>
          <w:color w:val="5A6B7B"/>
        </w:rPr>
      </w:pPr>
    </w:p>
    <w:p w14:paraId="4AF9EF94" w14:textId="77777777" w:rsidR="00DE0682" w:rsidRDefault="00DE0682">
      <w:pPr>
        <w:jc w:val="center"/>
        <w:rPr>
          <w:color w:val="5A6B7B"/>
        </w:rPr>
      </w:pPr>
    </w:p>
    <w:p w14:paraId="5E88DEA0" w14:textId="77777777" w:rsidR="00DE0682" w:rsidRDefault="00DE0682">
      <w:pPr>
        <w:jc w:val="center"/>
        <w:rPr>
          <w:color w:val="5A6B7B"/>
        </w:rPr>
      </w:pPr>
    </w:p>
    <w:p w14:paraId="5948E77C" w14:textId="77777777" w:rsidR="00DE0682" w:rsidRDefault="00DE0682">
      <w:pPr>
        <w:jc w:val="center"/>
        <w:rPr>
          <w:color w:val="5A6B7B"/>
        </w:rPr>
      </w:pPr>
    </w:p>
    <w:p w14:paraId="582F9417" w14:textId="0E2CCA09" w:rsidR="001B4E2D" w:rsidRDefault="00000000" w:rsidP="00DE0682">
      <w:pPr>
        <w:jc w:val="center"/>
      </w:pPr>
      <w:r>
        <w:rPr>
          <w:color w:val="5A6B7B"/>
        </w:rPr>
        <w:t>Assessment 1 — Case Study Report</w:t>
      </w:r>
    </w:p>
    <w:p w14:paraId="3451295F" w14:textId="77777777" w:rsidR="001B4E2D" w:rsidRDefault="001B4E2D">
      <w:pPr>
        <w:sectPr w:rsidR="001B4E2D" w:rsidSect="00DE0682">
          <w:pgSz w:w="11906" w:h="16838"/>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8ACF462" w14:textId="77777777" w:rsidR="001B4E2D" w:rsidRDefault="00000000">
      <w:pPr>
        <w:pStyle w:val="Heading1"/>
        <w:spacing w:after="260"/>
      </w:pPr>
      <w:r>
        <w:rPr>
          <w:b/>
          <w:bCs/>
          <w:color w:val="1F3864"/>
          <w:sz w:val="30"/>
          <w:szCs w:val="30"/>
        </w:rPr>
        <w:lastRenderedPageBreak/>
        <w:t>Table of Contents</w:t>
      </w:r>
    </w:p>
    <w:p w14:paraId="0E282966" w14:textId="77777777" w:rsidR="001B4E2D" w:rsidRDefault="00000000">
      <w:pPr>
        <w:tabs>
          <w:tab w:val="right" w:leader="dot" w:pos="9026"/>
        </w:tabs>
        <w:spacing w:after="140"/>
      </w:pPr>
      <w:r>
        <w:rPr>
          <w:sz w:val="23"/>
          <w:szCs w:val="23"/>
        </w:rPr>
        <w:t>1. Problem Statement</w:t>
      </w:r>
      <w:r>
        <w:rPr>
          <w:sz w:val="23"/>
          <w:szCs w:val="23"/>
        </w:rPr>
        <w:tab/>
        <w:t>3</w:t>
      </w:r>
    </w:p>
    <w:p w14:paraId="35C8E0B5" w14:textId="77777777" w:rsidR="001B4E2D" w:rsidRDefault="00000000">
      <w:pPr>
        <w:tabs>
          <w:tab w:val="right" w:leader="dot" w:pos="9026"/>
        </w:tabs>
        <w:spacing w:after="140"/>
      </w:pPr>
      <w:r>
        <w:rPr>
          <w:sz w:val="23"/>
          <w:szCs w:val="23"/>
        </w:rPr>
        <w:t>2. Objectives</w:t>
      </w:r>
      <w:r>
        <w:rPr>
          <w:sz w:val="23"/>
          <w:szCs w:val="23"/>
        </w:rPr>
        <w:tab/>
        <w:t>4</w:t>
      </w:r>
    </w:p>
    <w:p w14:paraId="7661517F" w14:textId="77777777" w:rsidR="001B4E2D" w:rsidRDefault="00000000">
      <w:pPr>
        <w:tabs>
          <w:tab w:val="right" w:leader="dot" w:pos="9026"/>
        </w:tabs>
        <w:spacing w:after="140"/>
      </w:pPr>
      <w:r>
        <w:rPr>
          <w:sz w:val="23"/>
          <w:szCs w:val="23"/>
        </w:rPr>
        <w:t>3. Literature Survey</w:t>
      </w:r>
      <w:r>
        <w:rPr>
          <w:sz w:val="23"/>
          <w:szCs w:val="23"/>
        </w:rPr>
        <w:tab/>
        <w:t>5</w:t>
      </w:r>
    </w:p>
    <w:p w14:paraId="0E807BDC" w14:textId="6E8BF938" w:rsidR="001B4E2D" w:rsidRDefault="00000000">
      <w:pPr>
        <w:tabs>
          <w:tab w:val="right" w:leader="dot" w:pos="9026"/>
        </w:tabs>
        <w:spacing w:after="140"/>
      </w:pPr>
      <w:r>
        <w:rPr>
          <w:sz w:val="23"/>
          <w:szCs w:val="23"/>
        </w:rPr>
        <w:t>4. Existing System Analysis</w:t>
      </w:r>
      <w:r>
        <w:rPr>
          <w:sz w:val="23"/>
          <w:szCs w:val="23"/>
        </w:rPr>
        <w:tab/>
      </w:r>
      <w:r w:rsidR="00DE0682">
        <w:rPr>
          <w:sz w:val="23"/>
          <w:szCs w:val="23"/>
        </w:rPr>
        <w:t>8</w:t>
      </w:r>
    </w:p>
    <w:p w14:paraId="721C712C" w14:textId="05922308" w:rsidR="001B4E2D" w:rsidRDefault="00000000">
      <w:pPr>
        <w:tabs>
          <w:tab w:val="right" w:leader="dot" w:pos="9026"/>
        </w:tabs>
        <w:spacing w:after="140"/>
      </w:pPr>
      <w:r>
        <w:rPr>
          <w:sz w:val="23"/>
          <w:szCs w:val="23"/>
        </w:rPr>
        <w:t>5. Problem Analysis</w:t>
      </w:r>
      <w:r>
        <w:rPr>
          <w:sz w:val="23"/>
          <w:szCs w:val="23"/>
        </w:rPr>
        <w:tab/>
      </w:r>
      <w:r w:rsidR="00DE0682">
        <w:rPr>
          <w:sz w:val="23"/>
          <w:szCs w:val="23"/>
        </w:rPr>
        <w:t>9</w:t>
      </w:r>
    </w:p>
    <w:p w14:paraId="482EA569" w14:textId="77777777" w:rsidR="001B4E2D" w:rsidRDefault="00000000">
      <w:pPr>
        <w:tabs>
          <w:tab w:val="right" w:leader="dot" w:pos="9026"/>
        </w:tabs>
        <w:spacing w:after="140"/>
      </w:pPr>
      <w:r>
        <w:rPr>
          <w:sz w:val="23"/>
          <w:szCs w:val="23"/>
        </w:rPr>
        <w:t>6. Proposed AWS Solution</w:t>
      </w:r>
      <w:r>
        <w:rPr>
          <w:sz w:val="23"/>
          <w:szCs w:val="23"/>
        </w:rPr>
        <w:tab/>
        <w:t>9</w:t>
      </w:r>
    </w:p>
    <w:p w14:paraId="408C93DF" w14:textId="77777777" w:rsidR="001B4E2D" w:rsidRDefault="00000000">
      <w:pPr>
        <w:tabs>
          <w:tab w:val="right" w:leader="dot" w:pos="9026"/>
        </w:tabs>
        <w:spacing w:after="140"/>
      </w:pPr>
      <w:r>
        <w:rPr>
          <w:sz w:val="23"/>
          <w:szCs w:val="23"/>
        </w:rPr>
        <w:t>7. Proposed AWS Architecture</w:t>
      </w:r>
      <w:r>
        <w:rPr>
          <w:sz w:val="23"/>
          <w:szCs w:val="23"/>
        </w:rPr>
        <w:tab/>
        <w:t>12</w:t>
      </w:r>
    </w:p>
    <w:p w14:paraId="6C11ACF9" w14:textId="77777777" w:rsidR="001B4E2D" w:rsidRDefault="00000000">
      <w:pPr>
        <w:tabs>
          <w:tab w:val="right" w:leader="dot" w:pos="9026"/>
        </w:tabs>
        <w:spacing w:after="140"/>
      </w:pPr>
      <w:r>
        <w:rPr>
          <w:sz w:val="23"/>
          <w:szCs w:val="23"/>
        </w:rPr>
        <w:t>8. Security and Cost Considerations</w:t>
      </w:r>
      <w:r>
        <w:rPr>
          <w:sz w:val="23"/>
          <w:szCs w:val="23"/>
        </w:rPr>
        <w:tab/>
        <w:t>14</w:t>
      </w:r>
    </w:p>
    <w:p w14:paraId="7D25B9ED" w14:textId="77777777" w:rsidR="001B4E2D" w:rsidRDefault="00000000">
      <w:pPr>
        <w:tabs>
          <w:tab w:val="right" w:leader="dot" w:pos="9026"/>
        </w:tabs>
        <w:spacing w:after="140"/>
      </w:pPr>
      <w:r>
        <w:rPr>
          <w:sz w:val="23"/>
          <w:szCs w:val="23"/>
        </w:rPr>
        <w:t>9. Innovation Statement</w:t>
      </w:r>
      <w:r>
        <w:rPr>
          <w:sz w:val="23"/>
          <w:szCs w:val="23"/>
        </w:rPr>
        <w:tab/>
        <w:t>15</w:t>
      </w:r>
    </w:p>
    <w:p w14:paraId="2B5AA179" w14:textId="5EC9B6D1" w:rsidR="001B4E2D" w:rsidRDefault="00000000">
      <w:pPr>
        <w:tabs>
          <w:tab w:val="right" w:leader="dot" w:pos="9026"/>
        </w:tabs>
        <w:spacing w:after="140"/>
      </w:pPr>
      <w:r>
        <w:rPr>
          <w:sz w:val="23"/>
          <w:szCs w:val="23"/>
        </w:rPr>
        <w:t>References</w:t>
      </w:r>
      <w:r>
        <w:rPr>
          <w:sz w:val="23"/>
          <w:szCs w:val="23"/>
        </w:rPr>
        <w:tab/>
        <w:t>1</w:t>
      </w:r>
      <w:r w:rsidR="00DE0682">
        <w:rPr>
          <w:sz w:val="23"/>
          <w:szCs w:val="23"/>
        </w:rPr>
        <w:t>7</w:t>
      </w:r>
    </w:p>
    <w:p w14:paraId="4EF179D8" w14:textId="77777777" w:rsidR="001B4E2D" w:rsidRDefault="00000000">
      <w:r>
        <w:br w:type="page"/>
      </w:r>
    </w:p>
    <w:p w14:paraId="20DC39F9" w14:textId="77777777" w:rsidR="001B4E2D" w:rsidRDefault="00000000">
      <w:pPr>
        <w:pStyle w:val="Heading1"/>
        <w:pBdr>
          <w:bottom w:val="single" w:sz="8" w:space="4" w:color="1F3864"/>
        </w:pBdr>
        <w:spacing w:before="320" w:after="160"/>
      </w:pPr>
      <w:r>
        <w:rPr>
          <w:b/>
          <w:bCs/>
          <w:color w:val="1F3864"/>
          <w:sz w:val="30"/>
          <w:szCs w:val="30"/>
        </w:rPr>
        <w:lastRenderedPageBreak/>
        <w:t>1. Problem Statement</w:t>
      </w:r>
    </w:p>
    <w:p w14:paraId="3BA8CB84" w14:textId="77777777" w:rsidR="001B4E2D" w:rsidRDefault="00000000">
      <w:pPr>
        <w:pStyle w:val="Heading2"/>
        <w:spacing w:before="260" w:after="120"/>
      </w:pPr>
      <w:r>
        <w:rPr>
          <w:b/>
          <w:bCs/>
          <w:color w:val="B45309"/>
          <w:sz w:val="25"/>
          <w:szCs w:val="25"/>
        </w:rPr>
        <w:t>1.1 The Existing Problem</w:t>
      </w:r>
    </w:p>
    <w:p w14:paraId="55945A6C" w14:textId="77777777" w:rsidR="001B4E2D" w:rsidRDefault="00000000">
      <w:pPr>
        <w:spacing w:after="160" w:line="300" w:lineRule="auto"/>
        <w:jc w:val="both"/>
      </w:pPr>
      <w:r>
        <w:t>Almost every organisation running production workloads on Amazon Web Services today provisions its infrastructure through Infrastructure as Code (IaC) — Terraform modules, CloudFormation templates, or CDK stacks that declare exactly what the environment is supposed to look like: which subnets are private, which security groups may talk to which, which S3 buckets should never be public, and which IAM roles are allowed to touch production data. The moment that infrastructure goes live, however, the declared state and the real state begin to quietly separate. Engineers apply an emergency hot-fix from the console during an incident and forget to backport it into the template. Autoscaling adds and removes instances outside the original count. A well-meaning developer opens an inbound rule to unblock a demo and never closes it again. This divergence between what was declared and what actually exists is known as configuration drift, and it is one of the most persistent operational problems in cloud engineering.</w:t>
      </w:r>
    </w:p>
    <w:p w14:paraId="375DC869" w14:textId="77777777" w:rsidR="001B4E2D" w:rsidRDefault="00000000">
      <w:pPr>
        <w:spacing w:after="160" w:line="300" w:lineRule="auto"/>
        <w:jc w:val="both"/>
      </w:pPr>
      <w:r>
        <w:t>The tools that exist to catch this today — AWS Config's drift detection, CloudFormation stack drift detection, and open-source policy engines such as Cloud Custodian or Open Policy Agent — are all, at their core, state comparators or rule matchers. They compare a resource's recorded attributes against either a previous snapshot or a hand-written rule, and they raise an alert when a value does not match. This works well for catching an obviously wrong attribute, such as an S3 bucket whose block-public-access setting was switched off. It works far less well for the violations that actually cause the worst incidents: a new, perfectly valid-looking network path that quietly crosses a trust boundary the architecture was designed around; a Lambda function that starts calling a database directly instead of going through the service that was supposed to own it; an IAM policy that is individually compliant with every written rule but, taken together with three other roles, creates a privilege-escalation path nobody anticipated. None of these show up as a single-resource attribute mismatch, so a purely rule-based or state-diff tool has no way to flag them — because the tool was never told what the system was supposed to mean, only what each resource was supposed to look like in isolation.</w:t>
      </w:r>
    </w:p>
    <w:p w14:paraId="23DE428E" w14:textId="77777777" w:rsidR="001B4E2D" w:rsidRDefault="00000000">
      <w:pPr>
        <w:spacing w:after="160" w:line="300" w:lineRule="auto"/>
        <w:jc w:val="both"/>
      </w:pPr>
      <w:r>
        <w:t>In other words, existing tooling detects configuration drift but has no concept of architectural intent — the reasoning behind why the system was built the way it was. This report proposes closing that gap.</w:t>
      </w:r>
    </w:p>
    <w:p w14:paraId="20AC1655" w14:textId="77777777" w:rsidR="001B4E2D" w:rsidRDefault="00000000">
      <w:pPr>
        <w:pStyle w:val="Heading2"/>
        <w:spacing w:before="260" w:after="120"/>
      </w:pPr>
      <w:r>
        <w:rPr>
          <w:b/>
          <w:bCs/>
          <w:color w:val="B45309"/>
          <w:sz w:val="25"/>
          <w:szCs w:val="25"/>
        </w:rPr>
        <w:t>1.2 Who Is Affected</w:t>
      </w:r>
    </w:p>
    <w:p w14:paraId="04E17F11" w14:textId="77777777" w:rsidR="001B4E2D" w:rsidRDefault="00000000">
      <w:pPr>
        <w:spacing w:after="160" w:line="300" w:lineRule="auto"/>
        <w:jc w:val="both"/>
      </w:pPr>
      <w:r>
        <w:t>The problem lands on several groups at once, each in a different way:</w:t>
      </w:r>
    </w:p>
    <w:p w14:paraId="59D46DE4" w14:textId="77777777" w:rsidR="001B4E2D" w:rsidRDefault="00000000">
      <w:pPr>
        <w:pStyle w:val="ListParagraph"/>
        <w:numPr>
          <w:ilvl w:val="0"/>
          <w:numId w:val="2"/>
        </w:numPr>
        <w:spacing w:after="100" w:line="290" w:lineRule="auto"/>
      </w:pPr>
      <w:r>
        <w:rPr>
          <w:b/>
          <w:bCs/>
        </w:rPr>
        <w:t>Cloud platform and DevOps/SRE teams</w:t>
      </w:r>
      <w:r>
        <w:t xml:space="preserve"> who are paged for drift alerts and must manually decide, resource by resource, whether a change is a routine autoscaling event or a genuine security incident — a triage burden that grows linearly with the size of the estate.</w:t>
      </w:r>
    </w:p>
    <w:p w14:paraId="45889EF1" w14:textId="2DDD838A" w:rsidR="001B4E2D" w:rsidRDefault="00000000">
      <w:pPr>
        <w:pStyle w:val="ListParagraph"/>
        <w:numPr>
          <w:ilvl w:val="0"/>
          <w:numId w:val="2"/>
        </w:numPr>
        <w:spacing w:after="100" w:line="290" w:lineRule="auto"/>
      </w:pPr>
      <w:r>
        <w:rPr>
          <w:b/>
          <w:bCs/>
        </w:rPr>
        <w:t>Security and compliance teams</w:t>
      </w:r>
      <w:r>
        <w:t xml:space="preserve"> preparing evidence for audits such as SOC 2, ISO 27001, or sector-specific frameworks (RBI guidelines for Indian fintechs, HIPAA for </w:t>
      </w:r>
      <w:r w:rsidR="00DE0682">
        <w:t>health tech</w:t>
      </w:r>
      <w:r>
        <w:t>), who need to prove not just that a resource is configured correctly today but that it has stayed within the intended architecture over time.</w:t>
      </w:r>
    </w:p>
    <w:p w14:paraId="25465899" w14:textId="42E752DA" w:rsidR="001B4E2D" w:rsidRDefault="00000000">
      <w:pPr>
        <w:pStyle w:val="ListParagraph"/>
        <w:numPr>
          <w:ilvl w:val="0"/>
          <w:numId w:val="2"/>
        </w:numPr>
        <w:spacing w:after="100" w:line="290" w:lineRule="auto"/>
      </w:pPr>
      <w:r>
        <w:rPr>
          <w:b/>
          <w:bCs/>
        </w:rPr>
        <w:t>Engineering leadership</w:t>
      </w:r>
      <w:r>
        <w:t xml:space="preserve"> who </w:t>
      </w:r>
      <w:r w:rsidR="00DE0682">
        <w:t>absorbs</w:t>
      </w:r>
      <w:r>
        <w:t xml:space="preserve"> the cost of incidents caused by unreviewed or unnoticed changes, and who must justify the return on investment of the governance tooling the organisation already pays for.</w:t>
      </w:r>
    </w:p>
    <w:p w14:paraId="16C19F48" w14:textId="77777777" w:rsidR="001B4E2D" w:rsidRDefault="00000000">
      <w:pPr>
        <w:pStyle w:val="ListParagraph"/>
        <w:numPr>
          <w:ilvl w:val="0"/>
          <w:numId w:val="2"/>
        </w:numPr>
        <w:spacing w:after="100" w:line="290" w:lineRule="auto"/>
      </w:pPr>
      <w:r>
        <w:rPr>
          <w:b/>
          <w:bCs/>
        </w:rPr>
        <w:lastRenderedPageBreak/>
        <w:t>End customers of the business</w:t>
      </w:r>
      <w:r>
        <w:t xml:space="preserve"> whose data confidentiality and service availability are ultimately what is at stake when a drifted resource is the entry point for a breach or an outage.</w:t>
      </w:r>
    </w:p>
    <w:p w14:paraId="1D083B64" w14:textId="77777777" w:rsidR="001B4E2D" w:rsidRDefault="00000000">
      <w:pPr>
        <w:pStyle w:val="Heading2"/>
        <w:spacing w:before="260" w:after="120"/>
      </w:pPr>
      <w:r>
        <w:rPr>
          <w:b/>
          <w:bCs/>
          <w:color w:val="B45309"/>
          <w:sz w:val="25"/>
          <w:szCs w:val="25"/>
        </w:rPr>
        <w:t>1.3 Why the Problem Is Important</w:t>
      </w:r>
    </w:p>
    <w:p w14:paraId="5FDB2193" w14:textId="77777777" w:rsidR="001B4E2D" w:rsidRDefault="00000000">
      <w:pPr>
        <w:spacing w:after="160" w:line="300" w:lineRule="auto"/>
        <w:jc w:val="both"/>
      </w:pPr>
      <w:r>
        <w:t>Cloud misconfiguration has been named by analysts and practitioners for several years running as one of the leading root causes of cloud security incidents, precisely because a misconfigured resource is rarely the result of a single bad decision — it is usually the end point of a series of small, individually reasonable changes that nobody connected back to the original design. Gartner's long-standing observation that the overwhelming majority of cloud security failures are the customer's fault, not the cloud provider's, reflects exactly this dynamic: the platform enforces what you tell it to, and the gap between what you told it and what you meant is where the risk lives. As organisations move faster — more IaC changes per day, more teams operating semi-independently under a shared AWS account structure — that gap widens unless something is actively watching it. A platform that can distinguish a benign, expected change from one that erodes the intended architecture would materially shorten the time between a risky change happening and someone finding out about it.</w:t>
      </w:r>
    </w:p>
    <w:p w14:paraId="74A3F1B8" w14:textId="77777777" w:rsidR="001B4E2D" w:rsidRDefault="00000000">
      <w:pPr>
        <w:pStyle w:val="Heading2"/>
        <w:spacing w:before="260" w:after="120"/>
      </w:pPr>
      <w:r>
        <w:rPr>
          <w:b/>
          <w:bCs/>
          <w:color w:val="B45309"/>
          <w:sz w:val="25"/>
          <w:szCs w:val="25"/>
        </w:rPr>
        <w:t>1.4 Motivation for Selecting This Problem</w:t>
      </w:r>
    </w:p>
    <w:p w14:paraId="507D2092" w14:textId="77777777" w:rsidR="001B4E2D" w:rsidRDefault="00000000">
      <w:pPr>
        <w:spacing w:after="160" w:line="300" w:lineRule="auto"/>
        <w:jc w:val="both"/>
      </w:pPr>
      <w:r>
        <w:t>This topic was chosen because it sits at a genuinely useful intersection: it is grounded in a well-documented, actively researched problem (configuration drift and architecture conformance both have a healthy academic literature, surveyed in Section 3), it maps cleanly onto a broad set of core AWS services that are worth learning in depth for this course, and — importantly for a case-study assessment with a working-prototype expectation — it can be built incrementally on the AWS Free Tier and student credits without needing access to a real production estate. Rather than building another dashboard that repeats what AWS Config already shows, the goal here is to add a layer of reasoning on top of the existing observability data AWS already collects, which is a more interesting and more defensible piece of systems design work than a purely cosmetic drift-visualisation tool.</w:t>
      </w:r>
    </w:p>
    <w:p w14:paraId="152E78A8" w14:textId="77777777" w:rsidR="00DE0682" w:rsidRDefault="00DE0682">
      <w:pPr>
        <w:spacing w:after="160" w:line="300" w:lineRule="auto"/>
        <w:jc w:val="both"/>
      </w:pPr>
    </w:p>
    <w:p w14:paraId="6B575D46" w14:textId="77777777" w:rsidR="001B4E2D" w:rsidRDefault="00000000">
      <w:pPr>
        <w:pStyle w:val="Heading1"/>
        <w:pBdr>
          <w:bottom w:val="single" w:sz="8" w:space="4" w:color="1F3864"/>
        </w:pBdr>
        <w:spacing w:before="320" w:after="160"/>
      </w:pPr>
      <w:r>
        <w:rPr>
          <w:b/>
          <w:bCs/>
          <w:color w:val="1F3864"/>
          <w:sz w:val="30"/>
          <w:szCs w:val="30"/>
        </w:rPr>
        <w:t>2. Objectives</w:t>
      </w:r>
    </w:p>
    <w:p w14:paraId="11A23746" w14:textId="77777777" w:rsidR="001B4E2D" w:rsidRDefault="00000000">
      <w:pPr>
        <w:spacing w:after="160" w:line="300" w:lineRule="auto"/>
        <w:jc w:val="both"/>
      </w:pPr>
      <w:r>
        <w:t>The proposed AWS solution, Cloud Intent Guardian, is guided by the following objectives:</w:t>
      </w:r>
    </w:p>
    <w:p w14:paraId="172F4130" w14:textId="77777777" w:rsidR="001B4E2D" w:rsidRDefault="00000000">
      <w:pPr>
        <w:pStyle w:val="ListParagraph"/>
        <w:numPr>
          <w:ilvl w:val="0"/>
          <w:numId w:val="3"/>
        </w:numPr>
        <w:spacing w:after="100" w:line="290" w:lineRule="auto"/>
      </w:pPr>
      <w:r>
        <w:t>Capture architectural intent as a first-class, versioned artifact — extracted from Infrastructure-as-Code definitions, architecture decision records (ADRs), and resource tags — rather than leaving it implicit in engineers' heads or in commit messages nobody rereads.</w:t>
      </w:r>
    </w:p>
    <w:p w14:paraId="0AE4903A" w14:textId="77777777" w:rsidR="001B4E2D" w:rsidRDefault="00000000">
      <w:pPr>
        <w:pStyle w:val="ListParagraph"/>
        <w:numPr>
          <w:ilvl w:val="0"/>
          <w:numId w:val="3"/>
        </w:numPr>
        <w:spacing w:after="100" w:line="290" w:lineRule="auto"/>
      </w:pPr>
      <w:r>
        <w:t>Continuously observe the live AWS environment using AWS Config, CloudTrail, and VPC Flow Logs, and represent the as-deployed system as a graph of resources and relationships that is directly comparable to the declared intent.</w:t>
      </w:r>
    </w:p>
    <w:p w14:paraId="7D7DC6FA" w14:textId="77777777" w:rsidR="001B4E2D" w:rsidRDefault="00000000">
      <w:pPr>
        <w:pStyle w:val="ListParagraph"/>
        <w:numPr>
          <w:ilvl w:val="0"/>
          <w:numId w:val="3"/>
        </w:numPr>
        <w:spacing w:after="100" w:line="290" w:lineRule="auto"/>
      </w:pPr>
      <w:r>
        <w:t>Detect both literal parameter drift (a changed attribute) and intent drift (a change in relationships, trust boundaries, or data flow) by comparing the two graphs, catching violations that single-resource rule engines structurally cannot see.</w:t>
      </w:r>
    </w:p>
    <w:p w14:paraId="5D4750B7" w14:textId="77777777" w:rsidR="001B4E2D" w:rsidRDefault="00000000">
      <w:pPr>
        <w:pStyle w:val="ListParagraph"/>
        <w:numPr>
          <w:ilvl w:val="0"/>
          <w:numId w:val="3"/>
        </w:numPr>
        <w:spacing w:after="100" w:line="290" w:lineRule="auto"/>
      </w:pPr>
      <w:r>
        <w:t>Prioritise findings by a severity score that blends recognised compliance baselines (the CIS AWS Foundations Benchmark, AWS Well-Architected Framework) with the business-criticality tags declared in the intent itself, instead of treating every drifted resource as equally urgent.</w:t>
      </w:r>
    </w:p>
    <w:p w14:paraId="13F06BE7" w14:textId="77777777" w:rsidR="001B4E2D" w:rsidRDefault="00000000">
      <w:pPr>
        <w:pStyle w:val="ListParagraph"/>
        <w:numPr>
          <w:ilvl w:val="0"/>
          <w:numId w:val="3"/>
        </w:numPr>
        <w:spacing w:after="100" w:line="290" w:lineRule="auto"/>
      </w:pPr>
      <w:r>
        <w:lastRenderedPageBreak/>
        <w:t>Gate remediation appropriately — automatically resolving high-confidence, low-risk drift through Systems Manager Automation, and routing ambiguous or high-blast-radius changes to a human approver before anything is touched.</w:t>
      </w:r>
    </w:p>
    <w:p w14:paraId="09683438" w14:textId="77777777" w:rsidR="001B4E2D" w:rsidRDefault="00000000">
      <w:pPr>
        <w:pStyle w:val="ListParagraph"/>
        <w:numPr>
          <w:ilvl w:val="0"/>
          <w:numId w:val="3"/>
        </w:numPr>
        <w:spacing w:after="100" w:line="290" w:lineRule="auto"/>
      </w:pPr>
      <w:r>
        <w:t>Keep the running cost near zero when idle by defaulting to a serverless-first design (Lambda, DynamoDB on-demand, Step Functions, EventBridge), so the platform is realistic to operate as a student prototype and as a small-team production tool alike.</w:t>
      </w:r>
    </w:p>
    <w:p w14:paraId="7DA7FDC4" w14:textId="77777777" w:rsidR="001B4E2D" w:rsidRDefault="00000000">
      <w:pPr>
        <w:pStyle w:val="ListParagraph"/>
        <w:numPr>
          <w:ilvl w:val="0"/>
          <w:numId w:val="3"/>
        </w:numPr>
        <w:spacing w:after="100" w:line="290" w:lineRule="auto"/>
      </w:pPr>
      <w:r>
        <w:t>Present findings, drift trends, and remediation history through a lightweight web dashboard so that platform, security, and leadership stakeholders each get the view they need without querying raw AWS Config data directly.</w:t>
      </w:r>
    </w:p>
    <w:p w14:paraId="0E0BF25A" w14:textId="77777777" w:rsidR="00DE0682" w:rsidRDefault="00DE0682" w:rsidP="00DE0682">
      <w:pPr>
        <w:spacing w:after="100" w:line="290" w:lineRule="auto"/>
      </w:pPr>
    </w:p>
    <w:p w14:paraId="30BF359A" w14:textId="77777777" w:rsidR="001B4E2D" w:rsidRDefault="00000000">
      <w:pPr>
        <w:pStyle w:val="Heading1"/>
        <w:pBdr>
          <w:bottom w:val="single" w:sz="8" w:space="4" w:color="1F3864"/>
        </w:pBdr>
        <w:spacing w:before="320" w:after="160"/>
      </w:pPr>
      <w:r>
        <w:rPr>
          <w:b/>
          <w:bCs/>
          <w:color w:val="1F3864"/>
          <w:sz w:val="30"/>
          <w:szCs w:val="30"/>
        </w:rPr>
        <w:t>3. Literature Survey</w:t>
      </w:r>
    </w:p>
    <w:p w14:paraId="32780FEA" w14:textId="77777777" w:rsidR="001B4E2D" w:rsidRDefault="00000000">
      <w:pPr>
        <w:spacing w:after="160" w:line="300" w:lineRule="auto"/>
        <w:jc w:val="both"/>
      </w:pPr>
      <w:r>
        <w:t>This survey covers five peer-reviewed or preprint research contributions on configuration drift and architecture conformance, three pieces of official AWS documentation and whitepapers, and one widely adopted industry solution, in order to place the proposed platform against the current state of the art.</w:t>
      </w:r>
    </w:p>
    <w:p w14:paraId="43075BF9" w14:textId="77777777" w:rsidR="001B4E2D" w:rsidRDefault="00000000">
      <w:pPr>
        <w:pStyle w:val="Heading2"/>
        <w:spacing w:before="260" w:after="120"/>
      </w:pPr>
      <w:r>
        <w:rPr>
          <w:b/>
          <w:bCs/>
          <w:color w:val="B45309"/>
          <w:sz w:val="25"/>
          <w:szCs w:val="25"/>
        </w:rPr>
        <w:t>3.1 Research Papers</w:t>
      </w:r>
    </w:p>
    <w:p w14:paraId="0C6042BE" w14:textId="77777777" w:rsidR="001B4E2D" w:rsidRDefault="00000000">
      <w:pPr>
        <w:pStyle w:val="Heading3"/>
        <w:spacing w:before="180" w:after="90"/>
      </w:pPr>
      <w:r>
        <w:rPr>
          <w:b/>
          <w:bCs/>
          <w:i/>
          <w:iCs/>
          <w:color w:val="232F3E"/>
          <w:sz w:val="22"/>
          <w:szCs w:val="22"/>
        </w:rPr>
        <w:t>3.1.1 AI-Driven Configuration Drift Detection in Cloud Environments</w:t>
      </w:r>
    </w:p>
    <w:p w14:paraId="63ED19FC" w14:textId="77777777" w:rsidR="001B4E2D" w:rsidRDefault="00000000">
      <w:pPr>
        <w:spacing w:after="160" w:line="300" w:lineRule="auto"/>
        <w:jc w:val="both"/>
      </w:pPr>
      <w:r>
        <w:t>Thiyagarajan, Bist, and Nayak (2024) propose a machine-learning framework that trains models on historical and real-time AWS Config data to learn what a resource's configuration is supposed to look like, then flags deviations from that learned baseline instead of relying purely on static rules. Their framework integrates with Terraform and AWS Config, and the authors report that it reduces reliance on manual monitoring and speeds up detection in dynamic, multi-cloud settings. Its limitation is that it still evaluates resources largely independently: the model learns what a healthy version of a given resource type looks like, but it has no explicit representation of how resources are meant to relate to one another, so it inherits the same blind spot to topology-level and trust-boundary violations that rule-based tools have.</w:t>
      </w:r>
    </w:p>
    <w:p w14:paraId="1A0AC3C6" w14:textId="77777777" w:rsidR="001B4E2D" w:rsidRDefault="00000000">
      <w:pPr>
        <w:pStyle w:val="Heading3"/>
        <w:spacing w:before="180" w:after="90"/>
      </w:pPr>
      <w:r>
        <w:rPr>
          <w:b/>
          <w:bCs/>
          <w:i/>
          <w:iCs/>
          <w:color w:val="232F3E"/>
          <w:sz w:val="22"/>
          <w:szCs w:val="22"/>
        </w:rPr>
        <w:t>3.1.2 DRIFTNET-EnVACK: Adaptive Drift Detection in Cloud Data Streams</w:t>
      </w:r>
    </w:p>
    <w:p w14:paraId="2A0533A2" w14:textId="77777777" w:rsidR="001B4E2D" w:rsidRDefault="00000000">
      <w:pPr>
        <w:spacing w:after="160" w:line="300" w:lineRule="auto"/>
        <w:jc w:val="both"/>
      </w:pPr>
      <w:r>
        <w:t>Mehmood, Latif, Latif, Majeed, and Malik (2024), published in IEEE Access, address drift detection at the level of continuous data streams rather than discrete configuration snapshots, using an ensemble variational autoencoder with a contextual network to adapt to changing baselines over time. This is a strong contribution on the statistical side of anomaly detection in dynamic cloud telemetry, and it is a useful reminder that "drift" in the machine-learning sense (a model's input distribution changing) and "drift" in the infrastructure sense (a resource's configuration changing) are related but distinct problems that can borrow techniques from one another. Its limitation for this project's purposes is that it is a general-purpose stream-monitoring technique rather than one built around infrastructure semantics — it would need to be paired with a domain model of what an AWS resource graph is supposed to look like before it could reason about architectural intent.</w:t>
      </w:r>
    </w:p>
    <w:p w14:paraId="249AAA3D" w14:textId="77777777" w:rsidR="001B4E2D" w:rsidRDefault="00000000">
      <w:pPr>
        <w:pStyle w:val="Heading3"/>
        <w:spacing w:before="180" w:after="90"/>
      </w:pPr>
      <w:r>
        <w:rPr>
          <w:b/>
          <w:bCs/>
          <w:i/>
          <w:iCs/>
          <w:color w:val="232F3E"/>
          <w:sz w:val="22"/>
          <w:szCs w:val="22"/>
        </w:rPr>
        <w:t>3.1.3 RIVA: Leveraging LLM Agents for Reliable Configuration Drift Detection</w:t>
      </w:r>
    </w:p>
    <w:p w14:paraId="5C81BE93" w14:textId="77777777" w:rsidR="001B4E2D" w:rsidRDefault="00000000">
      <w:pPr>
        <w:spacing w:after="160" w:line="300" w:lineRule="auto"/>
        <w:jc w:val="both"/>
      </w:pPr>
      <w:r>
        <w:t xml:space="preserve">Abuzakuk, Crijns, Kermarrec, Pires, and de Vos (2026) tackle a problem that is highly relevant to any system, including the one proposed here, that wants to use large language model agents to reason about infrastructure: agentic systems that call tools (querying logs, metrics, or traces) implicitly assume every tool call returns correct data, and a single silently wrong tool response can make the agent conclude the </w:t>
      </w:r>
      <w:r>
        <w:lastRenderedPageBreak/>
        <w:t>infrastructure is healthy when it is not, or vice versa. Their system, RIVA, uses two collaborating agents — a verifier and a tool-generator — that cross-validate a property using multiple independent diagnostic paths before reaching a conclusion, recovering task accuracy from 27.3% to 50.0% on the AIOpsLab benchmark when tool responses are unreliable. The relevance to this project is direct: any LLM-assisted reasoning layer built on top of AWS Config, CloudTrail, and Flow Logs needs the same discipline, because those data sources can themselves be incomplete, delayed, or (in a compromised account) deliberately falsified. RIVA's limitation, acknowledged by its own authors, is that it depends on being able to generate several genuinely independent tool calls for the same property, which is not always possible in a constrained environment.</w:t>
      </w:r>
    </w:p>
    <w:p w14:paraId="7878F420" w14:textId="77777777" w:rsidR="001B4E2D" w:rsidRDefault="00000000">
      <w:pPr>
        <w:pStyle w:val="Heading3"/>
        <w:spacing w:before="180" w:after="90"/>
      </w:pPr>
      <w:r>
        <w:rPr>
          <w:b/>
          <w:bCs/>
          <w:i/>
          <w:iCs/>
          <w:color w:val="232F3E"/>
          <w:sz w:val="22"/>
          <w:szCs w:val="22"/>
        </w:rPr>
        <w:t>3.1.4 Detecting Deviations in the Code Using Architecture View-Based Drift Analysis</w:t>
      </w:r>
    </w:p>
    <w:p w14:paraId="533A70F3" w14:textId="77777777" w:rsidR="001B4E2D" w:rsidRDefault="00000000">
      <w:pPr>
        <w:spacing w:after="160" w:line="300" w:lineRule="auto"/>
        <w:jc w:val="both"/>
      </w:pPr>
      <w:r>
        <w:t>Uzun and Tekinerdogan (2024), in Computer Standards &amp; Interfaces, come at the drift problem from the software-architecture side rather than the infrastructure side: they compare a system's implemented structure against explicitly modelled architectural views to detect where the code has drifted away from the intended design. This is conceptually the closest existing work to the "intent versus as-deployed" comparison this project proposes, except applied to source code architecture rather than cloud infrastructure. It confirms that comparing an explicit, modelled intent against an extracted as-built representation is an established and effective technique in software architecture research — this project's contribution is to bring that same technique to bear on cloud infrastructure topology, where, to date, it has not been common practice.</w:t>
      </w:r>
    </w:p>
    <w:p w14:paraId="040C07E7" w14:textId="77777777" w:rsidR="001B4E2D" w:rsidRDefault="00000000">
      <w:pPr>
        <w:pStyle w:val="Heading3"/>
        <w:spacing w:before="180" w:after="90"/>
      </w:pPr>
      <w:r>
        <w:rPr>
          <w:b/>
          <w:bCs/>
          <w:i/>
          <w:iCs/>
          <w:color w:val="232F3E"/>
          <w:sz w:val="22"/>
          <w:szCs w:val="22"/>
        </w:rPr>
        <w:t>3.1.5 Eliminating Configuration Drift at Scale Using Declarative Infrastructure Automation</w:t>
      </w:r>
    </w:p>
    <w:p w14:paraId="5C97D26D" w14:textId="77777777" w:rsidR="001B4E2D" w:rsidRDefault="00000000">
      <w:pPr>
        <w:spacing w:after="160" w:line="300" w:lineRule="auto"/>
        <w:jc w:val="both"/>
      </w:pPr>
      <w:r>
        <w:t>Siddiqui (2025), in the International Journal of Emerging Trends in Computer Science and Information Technology, surveys how organisations combine IaC, GitOps, and policy-as-code frameworks to detect, prevent, and remediate drift at scale, and argues that declarative automation combined with continuous reconciliation is now the dominant practical approach in industry. This paper is useful primarily as a synthesis of current practice rather than a novel technique, and it is candid about the limitation that most deployed pipelines still treat every detected deviation with the same urgency, because the reconciliation tooling has no notion of which deviations matter more than others to the business.</w:t>
      </w:r>
    </w:p>
    <w:p w14:paraId="47709190" w14:textId="77777777" w:rsidR="001B4E2D" w:rsidRDefault="00000000">
      <w:pPr>
        <w:pStyle w:val="Heading2"/>
        <w:spacing w:before="260" w:after="120"/>
      </w:pPr>
      <w:r>
        <w:rPr>
          <w:b/>
          <w:bCs/>
          <w:color w:val="B45309"/>
          <w:sz w:val="25"/>
          <w:szCs w:val="25"/>
        </w:rPr>
        <w:t>3.2 AWS Whitepapers and Documentation</w:t>
      </w:r>
    </w:p>
    <w:p w14:paraId="448D25B7" w14:textId="77777777" w:rsidR="001B4E2D" w:rsidRDefault="00000000">
      <w:pPr>
        <w:pStyle w:val="Heading3"/>
        <w:spacing w:before="180" w:after="90"/>
      </w:pPr>
      <w:r>
        <w:rPr>
          <w:b/>
          <w:bCs/>
          <w:i/>
          <w:iCs/>
          <w:color w:val="232F3E"/>
          <w:sz w:val="22"/>
          <w:szCs w:val="22"/>
        </w:rPr>
        <w:t>3.2.1 AWS Well-Architected Framework</w:t>
      </w:r>
    </w:p>
    <w:p w14:paraId="75ECC69A" w14:textId="77777777" w:rsidR="001B4E2D" w:rsidRDefault="00000000">
      <w:pPr>
        <w:spacing w:after="160" w:line="300" w:lineRule="auto"/>
        <w:jc w:val="both"/>
      </w:pPr>
      <w:r>
        <w:t>Amazon Web Services' Well-Architected Framework whitepaper defines six pillars — operational excellence, security, reliability, performance efficiency, cost optimisation, and sustainability — and provides a structured set of design principles and review questions for each. It is the closest thing AWS itself provides to a codified notion of "good architecture," and this project uses it as one of the two inputs (alongside the CIS AWS Foundations Benchmark) that feed the severity-scoring logic in the Intent Conformance Engine, so that a detected drift can be explained in terms a reviewer trained on Well-Architected will immediately recognise.</w:t>
      </w:r>
    </w:p>
    <w:p w14:paraId="178BFC15" w14:textId="77777777" w:rsidR="001B4E2D" w:rsidRDefault="00000000">
      <w:pPr>
        <w:pStyle w:val="Heading3"/>
        <w:spacing w:before="180" w:after="90"/>
      </w:pPr>
      <w:r>
        <w:rPr>
          <w:b/>
          <w:bCs/>
          <w:i/>
          <w:iCs/>
          <w:color w:val="232F3E"/>
          <w:sz w:val="22"/>
          <w:szCs w:val="22"/>
        </w:rPr>
        <w:t>3.2.2 AWS Config Developer Guide</w:t>
      </w:r>
    </w:p>
    <w:p w14:paraId="70526819" w14:textId="77777777" w:rsidR="001B4E2D" w:rsidRDefault="00000000">
      <w:pPr>
        <w:spacing w:after="160" w:line="300" w:lineRule="auto"/>
        <w:jc w:val="both"/>
      </w:pPr>
      <w:r>
        <w:t xml:space="preserve">The AWS Config documentation describes how the service continuously records the configuration of supported resource types and evaluates them against both AWS-managed and custom rules, including native CloudFormation stack drift detection. This is the primary observation mechanism the proposed platform builds on, and reading the documentation closely was necessary to understand exactly which resource attributes AWS Config captures natively (so the platform can rely on them) versus which relationships it does not capture </w:t>
      </w:r>
      <w:r>
        <w:lastRenderedPageBreak/>
        <w:t>at all (which is precisely the gap the Intent Conformance Engine is designed to fill using VPC Flow Logs and CloudTrail as supplementary sources).</w:t>
      </w:r>
    </w:p>
    <w:p w14:paraId="2470894F" w14:textId="77777777" w:rsidR="001B4E2D" w:rsidRDefault="00000000">
      <w:pPr>
        <w:pStyle w:val="Heading3"/>
        <w:spacing w:before="180" w:after="90"/>
      </w:pPr>
      <w:r>
        <w:rPr>
          <w:b/>
          <w:bCs/>
          <w:i/>
          <w:iCs/>
          <w:color w:val="232F3E"/>
          <w:sz w:val="22"/>
          <w:szCs w:val="22"/>
        </w:rPr>
        <w:t>3.2.3 Analyzing AWS Control Tower Drift with Amazon Bedrock (AWS Cloud Operations Blog)</w:t>
      </w:r>
    </w:p>
    <w:p w14:paraId="0C5069DA" w14:textId="77777777" w:rsidR="001B4E2D" w:rsidRDefault="00000000">
      <w:pPr>
        <w:spacing w:after="160" w:line="300" w:lineRule="auto"/>
        <w:jc w:val="both"/>
      </w:pPr>
      <w:r>
        <w:t>This AWS blog post describes a reference pattern in which Amazon Bedrock is used to categorise Control Tower drift events, identify likely root causes, and suggest remediation steps in natural language, triggered through CloudTrail and SNS. It is a useful piece of evidence that AWS itself sees value in pairing its native drift-detection primitives with generative-AI reasoning, and this project's architecture follows a similar pattern for the escalation path. The published pattern, however, stops at explaining a single detected drift event after the fact; it does not attempt to compare the live topology against an explicit, versioned model of what the architecture was supposed to be, which is the specific gap this project addresses.</w:t>
      </w:r>
    </w:p>
    <w:p w14:paraId="03F994FC" w14:textId="77777777" w:rsidR="001B4E2D" w:rsidRDefault="00000000">
      <w:pPr>
        <w:pStyle w:val="Heading2"/>
        <w:spacing w:before="260" w:after="120"/>
      </w:pPr>
      <w:r>
        <w:rPr>
          <w:b/>
          <w:bCs/>
          <w:color w:val="B45309"/>
          <w:sz w:val="25"/>
          <w:szCs w:val="25"/>
        </w:rPr>
        <w:t>3.3 Industry Solution: Cloud Custodian</w:t>
      </w:r>
    </w:p>
    <w:p w14:paraId="18D53149" w14:textId="77777777" w:rsidR="001B4E2D" w:rsidRDefault="00000000">
      <w:pPr>
        <w:spacing w:after="160" w:line="300" w:lineRule="auto"/>
        <w:jc w:val="both"/>
      </w:pPr>
      <w:r>
        <w:t>Cloud Custodian is an open-source cloud governance engine originally developed by Kapil Thangavelu at Capital One, open-sourced in 2016, and later contributed to the Cloud Native Computing Foundation as a sandbox project. It lets teams write governance and cost-optimisation policies in a simple YAML domain-specific language, targeting well over a hundred AWS resource types, and it is used at meaningful scale by organisations including Capital One itself, Intuit, and Amazon's own teams. Capital One's own reporting credits it with materially reducing unused AWS resource spend by giving the organisation a single, central place to define and enforce policy instead of a sprawl of one-off scripts.</w:t>
      </w:r>
    </w:p>
    <w:p w14:paraId="45D077AA" w14:textId="77777777" w:rsidR="001B4E2D" w:rsidRDefault="00000000">
      <w:pPr>
        <w:spacing w:after="160" w:line="300" w:lineRule="auto"/>
        <w:jc w:val="both"/>
      </w:pPr>
      <w:r>
        <w:t>Its strengths are real: the YAML policy language is approachable for people who are not full-time security engineers, it runs natively on AWS Lambda and CloudWatch Events for a low operating footprint, and its integration with AWS Security Hub gives it a path into existing SOC tooling. Its limitation, for the purposes of this project, is exactly the one shared by every rule-based engine discussed above: a Cloud Custodian policy can only catch what someone thought to write a rule for, resource by resource. It has no concept of "this system's data is supposed to flow only through this gateway," so a new, technically valid network path that quietly bypasses an intended trust boundary will not trigger any policy at all unless a human had already anticipated that exact scenario and encoded it as a rule.</w:t>
      </w:r>
    </w:p>
    <w:p w14:paraId="698B8CCC" w14:textId="77777777" w:rsidR="001B4E2D" w:rsidRDefault="00000000">
      <w:pPr>
        <w:pStyle w:val="Heading2"/>
        <w:spacing w:before="260" w:after="120"/>
      </w:pPr>
      <w:r>
        <w:rPr>
          <w:b/>
          <w:bCs/>
          <w:color w:val="B45309"/>
          <w:sz w:val="25"/>
          <w:szCs w:val="25"/>
        </w:rPr>
        <w:t>3.4 Synthesis and the Gap This Project Addresses</w:t>
      </w:r>
    </w:p>
    <w:p w14:paraId="29A5585C" w14:textId="77777777" w:rsidR="001B4E2D" w:rsidRDefault="00000000">
      <w:pPr>
        <w:spacing w:after="160" w:line="300" w:lineRule="auto"/>
        <w:jc w:val="both"/>
      </w:pPr>
      <w:r>
        <w:t xml:space="preserve">Across all eight sources, a consistent pattern emerges. Rule-based and policy-as-code tools such as Cloud Custodian and AWS Config Rules are mature, cheap to run, and excellent at catching known-bad configurations, but they are blind to anything nobody thought to write a rule for. Machine-learning approaches such as Thiyagarajan et al. and Mehmood et al. improve on this by learning baselines rather than requiring hand-written rules, but they still reason about resources largely in isolation rather than as a connected system. LLM-agent approaches such as RIVA and AWS's own Bedrock-based Control Tower pattern add the ability to reason in natural language and cross-validate uncertain evidence, but neither compares the live environment against an explicit, structured model of intended architecture — they explain drift after the fact rather than checking conformance against a design. Only the architecture-conformance line of work represented by Uzun and Tekinerdogan does the latter, and it has so far been applied to source code rather than cloud infrastructure. Cloud Intent Guardian's contribution is to combine these threads: an explicit, versioned Intent Graph (in the spirit of architecture-conformance research), a deterministic first-pass diff (in the spirit of policy-as-code tools, for speed and cost), and a cross-validated LLM reasoning layer for ambiguous cases (directly </w:t>
      </w:r>
      <w:r>
        <w:lastRenderedPageBreak/>
        <w:t>informed by RIVA's approach to distrusting single tool outputs), applied specifically to AWS infrastructure topology rather than either source code or isolated resource attributes.</w:t>
      </w:r>
    </w:p>
    <w:p w14:paraId="02AE0FCA" w14:textId="77777777" w:rsidR="00DE0682" w:rsidRDefault="00DE0682">
      <w:pPr>
        <w:spacing w:after="160" w:line="300" w:lineRule="auto"/>
        <w:jc w:val="both"/>
      </w:pPr>
    </w:p>
    <w:p w14:paraId="473B8AA0" w14:textId="77777777" w:rsidR="001B4E2D" w:rsidRDefault="00000000">
      <w:pPr>
        <w:pStyle w:val="Heading1"/>
        <w:pBdr>
          <w:bottom w:val="single" w:sz="8" w:space="4" w:color="1F3864"/>
        </w:pBdr>
        <w:spacing w:before="320" w:after="160"/>
      </w:pPr>
      <w:r>
        <w:rPr>
          <w:b/>
          <w:bCs/>
          <w:color w:val="1F3864"/>
          <w:sz w:val="30"/>
          <w:szCs w:val="30"/>
        </w:rPr>
        <w:t>4. Existing System Analysis</w:t>
      </w:r>
    </w:p>
    <w:p w14:paraId="524207B9" w14:textId="77777777" w:rsidR="001B4E2D" w:rsidRDefault="00000000">
      <w:pPr>
        <w:pStyle w:val="Heading2"/>
        <w:spacing w:before="260" w:after="120"/>
      </w:pPr>
      <w:r>
        <w:rPr>
          <w:b/>
          <w:bCs/>
          <w:color w:val="B45309"/>
          <w:sz w:val="25"/>
          <w:szCs w:val="25"/>
        </w:rPr>
        <w:t>4.1 Existing Workflow</w:t>
      </w:r>
    </w:p>
    <w:p w14:paraId="4A2F17C0" w14:textId="77777777" w:rsidR="001B4E2D" w:rsidRDefault="00000000">
      <w:pPr>
        <w:spacing w:after="160" w:line="300" w:lineRule="auto"/>
        <w:jc w:val="both"/>
      </w:pPr>
      <w:r>
        <w:t>In a typical organisation today, the governance workflow around AWS infrastructure looks roughly like this: engineers write and modify Terraform or CloudFormation templates in a Git repository; a CI/CD pipeline (CodePipeline, GitHub Actions, or similar) plans and applies changes on merge; AWS Config continuously records the resulting resource configurations; a mix of AWS Config managed rules, a handful of custom Lambda-backed rules, and possibly a Cloud Custodian or Open Policy Agent policy set scan those recorded configurations on a schedule or on a change event; findings are pushed into AWS Security Hub for aggregation; and, from there, a human — usually a member of the platform or security team — triages each finding, decides whether it is a false positive, a benign expected change, or a genuine issue, and either closes it or opens a ticket in Jira or ServiceNow. Notification of new findings typically arrives through an SNS topic feeding a Slack channel or an email distribution list.</w:t>
      </w:r>
    </w:p>
    <w:p w14:paraId="0BAF0EE6" w14:textId="77777777" w:rsidR="001B4E2D" w:rsidRDefault="00000000">
      <w:pPr>
        <w:pStyle w:val="Heading2"/>
        <w:spacing w:before="260" w:after="120"/>
      </w:pPr>
      <w:r>
        <w:rPr>
          <w:b/>
          <w:bCs/>
          <w:color w:val="B45309"/>
          <w:sz w:val="25"/>
          <w:szCs w:val="25"/>
        </w:rPr>
        <w:t>4.2 Existing Architecture</w:t>
      </w:r>
    </w:p>
    <w:p w14:paraId="55DB417B" w14:textId="77777777" w:rsidR="001B4E2D" w:rsidRDefault="00000000">
      <w:pPr>
        <w:spacing w:after="160" w:line="300" w:lineRule="auto"/>
        <w:jc w:val="both"/>
      </w:pPr>
      <w:r>
        <w:t>Architecturally, this is usually a single AWS Organization spanning multiple member accounts, with AWS Config's recorder and delivery channel configured in each account and aggregated centrally through a Config aggregator in a dedicated audit or security-tooling account. CloudTrail is enabled organisation-wide with logs delivered to a central S3 bucket. Security Hub sits in the same central account, consuming findings from Config Rules, GuardDuty, and any third-party integrations such as Cloud Custodian. IAM is managed mostly through a mix of AWS-managed policies and hand-written customer-managed policies, with permission boundaries used inconsistently across teams. There is rarely a single source of truth for what the network topology and trust boundaries are supposed to be beyond the IaC templates themselves, and those templates are not treated as queryable data — they are read by humans, not compared programmatically against the live environment's relationships.</w:t>
      </w:r>
    </w:p>
    <w:p w14:paraId="576BE0CD" w14:textId="77777777" w:rsidR="001B4E2D" w:rsidRDefault="00000000">
      <w:pPr>
        <w:pStyle w:val="Heading2"/>
        <w:spacing w:before="260" w:after="120"/>
      </w:pPr>
      <w:r>
        <w:rPr>
          <w:b/>
          <w:bCs/>
          <w:color w:val="B45309"/>
          <w:sz w:val="25"/>
          <w:szCs w:val="25"/>
        </w:rPr>
        <w:t>4.3 Technologies Currently in Use</w:t>
      </w:r>
    </w:p>
    <w:p w14:paraId="609BFF7F" w14:textId="77777777" w:rsidR="001B4E2D" w:rsidRDefault="00000000">
      <w:pPr>
        <w:spacing w:after="160" w:line="300" w:lineRule="auto"/>
        <w:jc w:val="both"/>
      </w:pPr>
      <w:r>
        <w:t>The technology stack behind this workflow commonly includes Terraform or AWS CloudFormation for provisioning; AWS Config, GuardDuty, and Security Hub for native detection and aggregation; Cloud Custodian or Open Policy Agent for supplementary policy-as-code checks; CloudWatch for logs and metrics; SNS and a chat integration (typically Slack) for alerting; and a ticketing system such as Jira or ServiceNow for tracking remediation to closure. None of these tools share a common data model of the system's intended architecture — each one operates on its own slice of the picture (a resource's attributes, a log entry, a policy match) without a unifying representation of how the pieces are meant to fit together.</w:t>
      </w:r>
    </w:p>
    <w:p w14:paraId="55E7139D" w14:textId="77777777" w:rsidR="00DE0682" w:rsidRDefault="00DE0682">
      <w:pPr>
        <w:spacing w:after="160" w:line="300" w:lineRule="auto"/>
        <w:jc w:val="both"/>
      </w:pPr>
    </w:p>
    <w:p w14:paraId="288A3AC3" w14:textId="77777777" w:rsidR="00DE0682" w:rsidRDefault="00DE0682">
      <w:pPr>
        <w:spacing w:after="160" w:line="300" w:lineRule="auto"/>
        <w:jc w:val="both"/>
      </w:pPr>
    </w:p>
    <w:p w14:paraId="5BA5A1F9" w14:textId="77777777" w:rsidR="001B4E2D" w:rsidRDefault="00000000">
      <w:pPr>
        <w:pStyle w:val="Heading1"/>
        <w:pBdr>
          <w:bottom w:val="single" w:sz="8" w:space="4" w:color="1F3864"/>
        </w:pBdr>
        <w:spacing w:before="320" w:after="160"/>
      </w:pPr>
      <w:r>
        <w:rPr>
          <w:b/>
          <w:bCs/>
          <w:color w:val="1F3864"/>
          <w:sz w:val="30"/>
          <w:szCs w:val="30"/>
        </w:rPr>
        <w:lastRenderedPageBreak/>
        <w:t>5. Problem Analysis</w:t>
      </w:r>
    </w:p>
    <w:p w14:paraId="7C43AA71" w14:textId="77777777" w:rsidR="001B4E2D" w:rsidRDefault="00000000">
      <w:pPr>
        <w:spacing w:after="160" w:line="300" w:lineRule="auto"/>
        <w:jc w:val="both"/>
      </w:pPr>
      <w:r>
        <w:t>The existing system described in Section 4 has weaknesses across every dimension relevant to this course's evaluation criteria. These are summarised below before the proposed solution is introduced.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7"/>
        <w:gridCol w:w="7789"/>
      </w:tblGrid>
      <w:tr w:rsidR="001B4E2D" w14:paraId="1C5C089A" w14:textId="77777777">
        <w:tblPrEx>
          <w:tblCellMar>
            <w:top w:w="0" w:type="dxa"/>
            <w:bottom w:w="0" w:type="dxa"/>
          </w:tblCellMar>
        </w:tblPrEx>
        <w:trPr>
          <w:tblHeader/>
        </w:trPr>
        <w:tc>
          <w:tcPr>
            <w:tcW w:w="1000" w:type="pct"/>
            <w:shd w:val="clear" w:color="auto" w:fill="1F3864"/>
            <w:tcMar>
              <w:top w:w="80" w:type="dxa"/>
              <w:left w:w="100" w:type="dxa"/>
              <w:bottom w:w="80" w:type="dxa"/>
              <w:right w:w="100" w:type="dxa"/>
            </w:tcMar>
          </w:tcPr>
          <w:p w14:paraId="4AEE9AD9" w14:textId="77777777" w:rsidR="001B4E2D" w:rsidRDefault="00000000">
            <w:r>
              <w:rPr>
                <w:b/>
                <w:bCs/>
                <w:color w:val="FFFFFF"/>
                <w:sz w:val="20"/>
                <w:szCs w:val="20"/>
              </w:rPr>
              <w:t>Dimension</w:t>
            </w:r>
          </w:p>
        </w:tc>
        <w:tc>
          <w:tcPr>
            <w:tcW w:w="4000" w:type="pct"/>
            <w:shd w:val="clear" w:color="auto" w:fill="1F3864"/>
            <w:tcMar>
              <w:top w:w="80" w:type="dxa"/>
              <w:left w:w="100" w:type="dxa"/>
              <w:bottom w:w="80" w:type="dxa"/>
              <w:right w:w="100" w:type="dxa"/>
            </w:tcMar>
          </w:tcPr>
          <w:p w14:paraId="3EB762F4" w14:textId="77777777" w:rsidR="001B4E2D" w:rsidRDefault="00000000">
            <w:r>
              <w:rPr>
                <w:b/>
                <w:bCs/>
                <w:color w:val="FFFFFF"/>
                <w:sz w:val="20"/>
                <w:szCs w:val="20"/>
              </w:rPr>
              <w:t>Analysis</w:t>
            </w:r>
          </w:p>
        </w:tc>
      </w:tr>
      <w:tr w:rsidR="001B4E2D" w14:paraId="723FA527" w14:textId="77777777">
        <w:tblPrEx>
          <w:tblCellMar>
            <w:top w:w="0" w:type="dxa"/>
            <w:bottom w:w="0" w:type="dxa"/>
          </w:tblCellMar>
        </w:tblPrEx>
        <w:tc>
          <w:tcPr>
            <w:tcW w:w="1000" w:type="pct"/>
            <w:shd w:val="clear" w:color="auto" w:fill="8C4FFF"/>
            <w:tcMar>
              <w:top w:w="80" w:type="dxa"/>
              <w:left w:w="100" w:type="dxa"/>
              <w:bottom w:w="80" w:type="dxa"/>
              <w:right w:w="100" w:type="dxa"/>
            </w:tcMar>
          </w:tcPr>
          <w:p w14:paraId="11C2CD3F" w14:textId="77777777" w:rsidR="001B4E2D" w:rsidRDefault="00000000">
            <w:r>
              <w:rPr>
                <w:b/>
                <w:bCs/>
                <w:color w:val="FFFFFF"/>
                <w:sz w:val="20"/>
                <w:szCs w:val="20"/>
              </w:rPr>
              <w:t>Technical</w:t>
            </w:r>
          </w:p>
        </w:tc>
        <w:tc>
          <w:tcPr>
            <w:tcW w:w="4000" w:type="pct"/>
            <w:tcMar>
              <w:top w:w="80" w:type="dxa"/>
              <w:left w:w="100" w:type="dxa"/>
              <w:bottom w:w="80" w:type="dxa"/>
              <w:right w:w="100" w:type="dxa"/>
            </w:tcMar>
          </w:tcPr>
          <w:p w14:paraId="7948A06E" w14:textId="77777777" w:rsidR="001B4E2D" w:rsidRDefault="00000000">
            <w:r>
              <w:rPr>
                <w:sz w:val="20"/>
                <w:szCs w:val="20"/>
              </w:rPr>
              <w:t>Rule proliferation and rule-maintenance burden; comparisons happen resource-by-resource with no shared graph of relationships; benign changes (autoscaling, ephemeral IPs) generate the same alert weight as genuine risks, producing alert fatigue; detection tools are disconnected point solutions with no shared data model; there is no automatic link back to the design rationale that explains why a configuration was set the way it was.</w:t>
            </w:r>
          </w:p>
        </w:tc>
      </w:tr>
      <w:tr w:rsidR="001B4E2D" w14:paraId="6C18FA83" w14:textId="77777777">
        <w:tblPrEx>
          <w:tblCellMar>
            <w:top w:w="0" w:type="dxa"/>
            <w:bottom w:w="0" w:type="dxa"/>
          </w:tblCellMar>
        </w:tblPrEx>
        <w:tc>
          <w:tcPr>
            <w:tcW w:w="1000" w:type="pct"/>
            <w:shd w:val="clear" w:color="auto" w:fill="ED7100"/>
            <w:tcMar>
              <w:top w:w="80" w:type="dxa"/>
              <w:left w:w="100" w:type="dxa"/>
              <w:bottom w:w="80" w:type="dxa"/>
              <w:right w:w="100" w:type="dxa"/>
            </w:tcMar>
          </w:tcPr>
          <w:p w14:paraId="0EAFB97D" w14:textId="77777777" w:rsidR="001B4E2D" w:rsidRDefault="00000000">
            <w:r>
              <w:rPr>
                <w:b/>
                <w:bCs/>
                <w:color w:val="FFFFFF"/>
                <w:sz w:val="20"/>
                <w:szCs w:val="20"/>
              </w:rPr>
              <w:t>Business</w:t>
            </w:r>
          </w:p>
        </w:tc>
        <w:tc>
          <w:tcPr>
            <w:tcW w:w="4000" w:type="pct"/>
            <w:tcMar>
              <w:top w:w="80" w:type="dxa"/>
              <w:left w:w="100" w:type="dxa"/>
              <w:bottom w:w="80" w:type="dxa"/>
              <w:right w:w="100" w:type="dxa"/>
            </w:tcMar>
          </w:tcPr>
          <w:p w14:paraId="066BAEAE" w14:textId="77777777" w:rsidR="001B4E2D" w:rsidRDefault="00000000">
            <w:r>
              <w:rPr>
                <w:sz w:val="20"/>
                <w:szCs w:val="20"/>
              </w:rPr>
              <w:t>Manual triage slows audit cycles and delays feature velocity, since every infrastructure review competes for the same platform-team attention; standards are applied inconsistently across teams because policy authorship is manual and ad hoc; proving continuous compliance to auditors requires stitching together evidence from several disconnected tools by hand.</w:t>
            </w:r>
          </w:p>
        </w:tc>
      </w:tr>
      <w:tr w:rsidR="001B4E2D" w14:paraId="1D817508" w14:textId="77777777">
        <w:tblPrEx>
          <w:tblCellMar>
            <w:top w:w="0" w:type="dxa"/>
            <w:bottom w:w="0" w:type="dxa"/>
          </w:tblCellMar>
        </w:tblPrEx>
        <w:tc>
          <w:tcPr>
            <w:tcW w:w="1000" w:type="pct"/>
            <w:shd w:val="clear" w:color="auto" w:fill="DD344C"/>
            <w:tcMar>
              <w:top w:w="80" w:type="dxa"/>
              <w:left w:w="100" w:type="dxa"/>
              <w:bottom w:w="80" w:type="dxa"/>
              <w:right w:w="100" w:type="dxa"/>
            </w:tcMar>
          </w:tcPr>
          <w:p w14:paraId="154F615D" w14:textId="77777777" w:rsidR="001B4E2D" w:rsidRDefault="00000000">
            <w:r>
              <w:rPr>
                <w:b/>
                <w:bCs/>
                <w:color w:val="FFFFFF"/>
                <w:sz w:val="20"/>
                <w:szCs w:val="20"/>
              </w:rPr>
              <w:t>Security</w:t>
            </w:r>
          </w:p>
        </w:tc>
        <w:tc>
          <w:tcPr>
            <w:tcW w:w="4000" w:type="pct"/>
            <w:tcMar>
              <w:top w:w="80" w:type="dxa"/>
              <w:left w:w="100" w:type="dxa"/>
              <w:bottom w:w="80" w:type="dxa"/>
              <w:right w:w="100" w:type="dxa"/>
            </w:tcMar>
          </w:tcPr>
          <w:p w14:paraId="2156E44F" w14:textId="77777777" w:rsidR="001B4E2D" w:rsidRDefault="00000000">
            <w:r>
              <w:rPr>
                <w:sz w:val="20"/>
                <w:szCs w:val="20"/>
              </w:rPr>
              <w:t>Trust-boundary violations and privilege-escalation paths that emerge from the combination of several individually compliant resources go undetected; unauthorized public exposure is only caught if a rule was written for that exact resource type and setting; detection latency between a risky change and a human noticing it can run to hours or days.</w:t>
            </w:r>
          </w:p>
        </w:tc>
      </w:tr>
      <w:tr w:rsidR="001B4E2D" w14:paraId="2449C853" w14:textId="77777777">
        <w:tblPrEx>
          <w:tblCellMar>
            <w:top w:w="0" w:type="dxa"/>
            <w:bottom w:w="0" w:type="dxa"/>
          </w:tblCellMar>
        </w:tblPrEx>
        <w:tc>
          <w:tcPr>
            <w:tcW w:w="1000" w:type="pct"/>
            <w:shd w:val="clear" w:color="auto" w:fill="2E73B8"/>
            <w:tcMar>
              <w:top w:w="80" w:type="dxa"/>
              <w:left w:w="100" w:type="dxa"/>
              <w:bottom w:w="80" w:type="dxa"/>
              <w:right w:w="100" w:type="dxa"/>
            </w:tcMar>
          </w:tcPr>
          <w:p w14:paraId="0A736E94" w14:textId="77777777" w:rsidR="001B4E2D" w:rsidRDefault="00000000">
            <w:r>
              <w:rPr>
                <w:b/>
                <w:bCs/>
                <w:color w:val="FFFFFF"/>
                <w:sz w:val="20"/>
                <w:szCs w:val="20"/>
              </w:rPr>
              <w:t>Performance</w:t>
            </w:r>
          </w:p>
        </w:tc>
        <w:tc>
          <w:tcPr>
            <w:tcW w:w="4000" w:type="pct"/>
            <w:tcMar>
              <w:top w:w="80" w:type="dxa"/>
              <w:left w:w="100" w:type="dxa"/>
              <w:bottom w:w="80" w:type="dxa"/>
              <w:right w:w="100" w:type="dxa"/>
            </w:tcMar>
          </w:tcPr>
          <w:p w14:paraId="0965DFDD" w14:textId="77777777" w:rsidR="001B4E2D" w:rsidRDefault="00000000">
            <w:r>
              <w:rPr>
                <w:sz w:val="20"/>
                <w:szCs w:val="20"/>
              </w:rPr>
              <w:t>Most existing detection runs on a periodic batch schedule (hourly or daily Config Rule evaluations) rather than reacting to change events in near real time; dashboards built on top of these tools reflect stale snapshots rather than current state.</w:t>
            </w:r>
          </w:p>
        </w:tc>
      </w:tr>
      <w:tr w:rsidR="001B4E2D" w14:paraId="1713B9C1" w14:textId="77777777">
        <w:tblPrEx>
          <w:tblCellMar>
            <w:top w:w="0" w:type="dxa"/>
            <w:bottom w:w="0" w:type="dxa"/>
          </w:tblCellMar>
        </w:tblPrEx>
        <w:tc>
          <w:tcPr>
            <w:tcW w:w="1000" w:type="pct"/>
            <w:shd w:val="clear" w:color="auto" w:fill="7AA116"/>
            <w:tcMar>
              <w:top w:w="80" w:type="dxa"/>
              <w:left w:w="100" w:type="dxa"/>
              <w:bottom w:w="80" w:type="dxa"/>
              <w:right w:w="100" w:type="dxa"/>
            </w:tcMar>
          </w:tcPr>
          <w:p w14:paraId="3D96E3FB" w14:textId="77777777" w:rsidR="001B4E2D" w:rsidRDefault="00000000">
            <w:r>
              <w:rPr>
                <w:b/>
                <w:bCs/>
                <w:color w:val="FFFFFF"/>
                <w:sz w:val="20"/>
                <w:szCs w:val="20"/>
              </w:rPr>
              <w:t>Cost</w:t>
            </w:r>
          </w:p>
        </w:tc>
        <w:tc>
          <w:tcPr>
            <w:tcW w:w="4000" w:type="pct"/>
            <w:tcMar>
              <w:top w:w="80" w:type="dxa"/>
              <w:left w:w="100" w:type="dxa"/>
              <w:bottom w:w="80" w:type="dxa"/>
              <w:right w:w="100" w:type="dxa"/>
            </w:tcMar>
          </w:tcPr>
          <w:p w14:paraId="60B4E721" w14:textId="77777777" w:rsidR="001B4E2D" w:rsidRDefault="00000000">
            <w:r>
              <w:rPr>
                <w:sz w:val="20"/>
                <w:szCs w:val="20"/>
              </w:rPr>
              <w:t>Engineer hours spent manually investigating low-value alerts are a real, recurring cost; organisations often run multiple overlapping commercial CSPM subscriptions to cover gaps in native tooling; reactive remediation after an incident is consistently more expensive than preventing the drift from persisting in the first place; over-provisioned or orphaned resources are frequently missed because they are not "wrong" per any written rule, only wasteful relative to the intended scale.</w:t>
            </w:r>
          </w:p>
        </w:tc>
      </w:tr>
    </w:tbl>
    <w:p w14:paraId="6AC9CFA4" w14:textId="77777777" w:rsidR="001B4E2D" w:rsidRDefault="00000000">
      <w:pPr>
        <w:pStyle w:val="Heading1"/>
        <w:pBdr>
          <w:bottom w:val="single" w:sz="8" w:space="4" w:color="1F3864"/>
        </w:pBdr>
        <w:spacing w:before="320" w:after="160"/>
      </w:pPr>
      <w:r>
        <w:rPr>
          <w:b/>
          <w:bCs/>
          <w:color w:val="1F3864"/>
          <w:sz w:val="30"/>
          <w:szCs w:val="30"/>
        </w:rPr>
        <w:t>6. Proposed AWS Solution</w:t>
      </w:r>
    </w:p>
    <w:p w14:paraId="5B2FBF10" w14:textId="77777777" w:rsidR="001B4E2D" w:rsidRDefault="00000000">
      <w:pPr>
        <w:spacing w:after="160" w:line="300" w:lineRule="auto"/>
        <w:jc w:val="both"/>
      </w:pPr>
      <w:r>
        <w:t>Cloud Intent Guardian is designed as a serverless-first, event-driven platform built entirely from managed AWS services, so that it scales down to near-zero cost when idle and scales up automatically under load without capacity planning. The table below lists every AWS service used in the design and the specific reason it was chosen over the alternatives.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6"/>
        <w:gridCol w:w="7010"/>
      </w:tblGrid>
      <w:tr w:rsidR="001B4E2D" w14:paraId="548C189F" w14:textId="77777777">
        <w:tblPrEx>
          <w:tblCellMar>
            <w:top w:w="0" w:type="dxa"/>
            <w:bottom w:w="0" w:type="dxa"/>
          </w:tblCellMar>
        </w:tblPrEx>
        <w:trPr>
          <w:tblHeader/>
        </w:trPr>
        <w:tc>
          <w:tcPr>
            <w:tcW w:w="1400" w:type="pct"/>
            <w:shd w:val="clear" w:color="auto" w:fill="1F3864"/>
            <w:tcMar>
              <w:top w:w="80" w:type="dxa"/>
              <w:left w:w="100" w:type="dxa"/>
              <w:bottom w:w="80" w:type="dxa"/>
              <w:right w:w="100" w:type="dxa"/>
            </w:tcMar>
          </w:tcPr>
          <w:p w14:paraId="51C1A5A6" w14:textId="77777777" w:rsidR="001B4E2D" w:rsidRDefault="00000000">
            <w:r>
              <w:rPr>
                <w:b/>
                <w:bCs/>
                <w:color w:val="FFFFFF"/>
                <w:sz w:val="20"/>
                <w:szCs w:val="20"/>
              </w:rPr>
              <w:t>AWS Service</w:t>
            </w:r>
          </w:p>
        </w:tc>
        <w:tc>
          <w:tcPr>
            <w:tcW w:w="3600" w:type="pct"/>
            <w:shd w:val="clear" w:color="auto" w:fill="1F3864"/>
            <w:tcMar>
              <w:top w:w="80" w:type="dxa"/>
              <w:left w:w="100" w:type="dxa"/>
              <w:bottom w:w="80" w:type="dxa"/>
              <w:right w:w="100" w:type="dxa"/>
            </w:tcMar>
          </w:tcPr>
          <w:p w14:paraId="0CFCAD2C" w14:textId="77777777" w:rsidR="001B4E2D" w:rsidRDefault="00000000">
            <w:r>
              <w:rPr>
                <w:b/>
                <w:bCs/>
                <w:color w:val="FFFFFF"/>
                <w:sz w:val="20"/>
                <w:szCs w:val="20"/>
              </w:rPr>
              <w:t>Justification</w:t>
            </w:r>
          </w:p>
        </w:tc>
      </w:tr>
      <w:tr w:rsidR="001B4E2D" w14:paraId="058EA1DF" w14:textId="77777777">
        <w:tblPrEx>
          <w:tblCellMar>
            <w:top w:w="0" w:type="dxa"/>
            <w:bottom w:w="0" w:type="dxa"/>
          </w:tblCellMar>
        </w:tblPrEx>
        <w:tc>
          <w:tcPr>
            <w:tcW w:w="1400" w:type="pct"/>
            <w:shd w:val="clear" w:color="auto" w:fill="FFFFFF"/>
            <w:tcMar>
              <w:top w:w="80" w:type="dxa"/>
              <w:left w:w="100" w:type="dxa"/>
              <w:bottom w:w="80" w:type="dxa"/>
              <w:right w:w="100" w:type="dxa"/>
            </w:tcMar>
          </w:tcPr>
          <w:p w14:paraId="1D9968FA" w14:textId="77777777" w:rsidR="001B4E2D" w:rsidRDefault="00000000">
            <w:r>
              <w:rPr>
                <w:b/>
                <w:bCs/>
                <w:sz w:val="19"/>
                <w:szCs w:val="19"/>
              </w:rPr>
              <w:t>AWS Identity and Access Management (IAM)</w:t>
            </w:r>
          </w:p>
        </w:tc>
        <w:tc>
          <w:tcPr>
            <w:tcW w:w="3600" w:type="pct"/>
            <w:shd w:val="clear" w:color="auto" w:fill="FFFFFF"/>
            <w:tcMar>
              <w:top w:w="80" w:type="dxa"/>
              <w:left w:w="100" w:type="dxa"/>
              <w:bottom w:w="80" w:type="dxa"/>
              <w:right w:w="100" w:type="dxa"/>
            </w:tcMar>
          </w:tcPr>
          <w:p w14:paraId="215CF0CD" w14:textId="77777777" w:rsidR="001B4E2D" w:rsidRDefault="00000000">
            <w:r>
              <w:rPr>
                <w:sz w:val="19"/>
                <w:szCs w:val="19"/>
              </w:rPr>
              <w:t>Every Lambda function, Fargate task, and Step Functions state machine in the platform runs under a narrowly scoped execution role with a permission boundary, so that the automation itself can never accumulate more privilege than the single action it performs — the same principle the platform enforces on the customer's environment is enforced on itself.</w:t>
            </w:r>
          </w:p>
        </w:tc>
      </w:tr>
      <w:tr w:rsidR="001B4E2D" w14:paraId="4DA1DF5D" w14:textId="77777777">
        <w:tblPrEx>
          <w:tblCellMar>
            <w:top w:w="0" w:type="dxa"/>
            <w:bottom w:w="0" w:type="dxa"/>
          </w:tblCellMar>
        </w:tblPrEx>
        <w:tc>
          <w:tcPr>
            <w:tcW w:w="1400" w:type="pct"/>
            <w:shd w:val="clear" w:color="auto" w:fill="F2F2F2"/>
            <w:tcMar>
              <w:top w:w="80" w:type="dxa"/>
              <w:left w:w="100" w:type="dxa"/>
              <w:bottom w:w="80" w:type="dxa"/>
              <w:right w:w="100" w:type="dxa"/>
            </w:tcMar>
          </w:tcPr>
          <w:p w14:paraId="4BE4A0BB" w14:textId="77777777" w:rsidR="001B4E2D" w:rsidRDefault="00000000">
            <w:r>
              <w:rPr>
                <w:b/>
                <w:bCs/>
                <w:sz w:val="19"/>
                <w:szCs w:val="19"/>
              </w:rPr>
              <w:t>AWS Config (+ Conformance Packs)</w:t>
            </w:r>
          </w:p>
        </w:tc>
        <w:tc>
          <w:tcPr>
            <w:tcW w:w="3600" w:type="pct"/>
            <w:shd w:val="clear" w:color="auto" w:fill="F2F2F2"/>
            <w:tcMar>
              <w:top w:w="80" w:type="dxa"/>
              <w:left w:w="100" w:type="dxa"/>
              <w:bottom w:w="80" w:type="dxa"/>
              <w:right w:w="100" w:type="dxa"/>
            </w:tcMar>
          </w:tcPr>
          <w:p w14:paraId="1CF71308" w14:textId="77777777" w:rsidR="001B4E2D" w:rsidRDefault="00000000">
            <w:r>
              <w:rPr>
                <w:sz w:val="19"/>
                <w:szCs w:val="19"/>
              </w:rPr>
              <w:t>Provides continuous, native resource-configuration recording across accounts and is the primary source of truth for the As-Is Graph; conformance packs give a ready-made way to bundle the CIS AWS Foundations Benchmark checks that feed the severity model.</w:t>
            </w:r>
          </w:p>
        </w:tc>
      </w:tr>
      <w:tr w:rsidR="001B4E2D" w14:paraId="3A1BFF2E" w14:textId="77777777">
        <w:tblPrEx>
          <w:tblCellMar>
            <w:top w:w="0" w:type="dxa"/>
            <w:bottom w:w="0" w:type="dxa"/>
          </w:tblCellMar>
        </w:tblPrEx>
        <w:tc>
          <w:tcPr>
            <w:tcW w:w="1400" w:type="pct"/>
            <w:shd w:val="clear" w:color="auto" w:fill="FFFFFF"/>
            <w:tcMar>
              <w:top w:w="80" w:type="dxa"/>
              <w:left w:w="100" w:type="dxa"/>
              <w:bottom w:w="80" w:type="dxa"/>
              <w:right w:w="100" w:type="dxa"/>
            </w:tcMar>
          </w:tcPr>
          <w:p w14:paraId="5602DB3C" w14:textId="77777777" w:rsidR="001B4E2D" w:rsidRDefault="00000000">
            <w:r>
              <w:rPr>
                <w:b/>
                <w:bCs/>
                <w:sz w:val="19"/>
                <w:szCs w:val="19"/>
              </w:rPr>
              <w:t>AWS CloudTrail</w:t>
            </w:r>
          </w:p>
        </w:tc>
        <w:tc>
          <w:tcPr>
            <w:tcW w:w="3600" w:type="pct"/>
            <w:shd w:val="clear" w:color="auto" w:fill="FFFFFF"/>
            <w:tcMar>
              <w:top w:w="80" w:type="dxa"/>
              <w:left w:w="100" w:type="dxa"/>
              <w:bottom w:w="80" w:type="dxa"/>
              <w:right w:w="100" w:type="dxa"/>
            </w:tcMar>
          </w:tcPr>
          <w:p w14:paraId="46A16E94" w14:textId="77777777" w:rsidR="001B4E2D" w:rsidRDefault="00000000">
            <w:r>
              <w:rPr>
                <w:sz w:val="19"/>
                <w:szCs w:val="19"/>
              </w:rPr>
              <w:t>Supplies the who-did-what-when management-event stream needed both to populate the As-Is Graph with change provenance and to give the audit trail (Section 8) the evidence auditors actually ask for.</w:t>
            </w:r>
          </w:p>
        </w:tc>
      </w:tr>
      <w:tr w:rsidR="001B4E2D" w14:paraId="66DDDBE2" w14:textId="77777777">
        <w:tblPrEx>
          <w:tblCellMar>
            <w:top w:w="0" w:type="dxa"/>
            <w:bottom w:w="0" w:type="dxa"/>
          </w:tblCellMar>
        </w:tblPrEx>
        <w:tc>
          <w:tcPr>
            <w:tcW w:w="1400" w:type="pct"/>
            <w:shd w:val="clear" w:color="auto" w:fill="F2F2F2"/>
            <w:tcMar>
              <w:top w:w="80" w:type="dxa"/>
              <w:left w:w="100" w:type="dxa"/>
              <w:bottom w:w="80" w:type="dxa"/>
              <w:right w:w="100" w:type="dxa"/>
            </w:tcMar>
          </w:tcPr>
          <w:p w14:paraId="5F195243" w14:textId="77777777" w:rsidR="001B4E2D" w:rsidRDefault="00000000">
            <w:r>
              <w:rPr>
                <w:b/>
                <w:bCs/>
                <w:sz w:val="19"/>
                <w:szCs w:val="19"/>
              </w:rPr>
              <w:lastRenderedPageBreak/>
              <w:t>Amazon VPC &amp; VPC Flow Logs</w:t>
            </w:r>
          </w:p>
        </w:tc>
        <w:tc>
          <w:tcPr>
            <w:tcW w:w="3600" w:type="pct"/>
            <w:shd w:val="clear" w:color="auto" w:fill="F2F2F2"/>
            <w:tcMar>
              <w:top w:w="80" w:type="dxa"/>
              <w:left w:w="100" w:type="dxa"/>
              <w:bottom w:w="80" w:type="dxa"/>
              <w:right w:w="100" w:type="dxa"/>
            </w:tcMar>
          </w:tcPr>
          <w:p w14:paraId="6975CA46" w14:textId="77777777" w:rsidR="001B4E2D" w:rsidRDefault="00000000">
            <w:r>
              <w:rPr>
                <w:sz w:val="19"/>
                <w:szCs w:val="19"/>
              </w:rPr>
              <w:t>Captures the network topology as it actually behaves in production, not just as security groups declare it should behave — this is the single most important data source for catching trust-boundary violations that a resource-attribute diff cannot see.</w:t>
            </w:r>
          </w:p>
        </w:tc>
      </w:tr>
      <w:tr w:rsidR="001B4E2D" w14:paraId="74D77F9F" w14:textId="77777777">
        <w:tblPrEx>
          <w:tblCellMar>
            <w:top w:w="0" w:type="dxa"/>
            <w:bottom w:w="0" w:type="dxa"/>
          </w:tblCellMar>
        </w:tblPrEx>
        <w:tc>
          <w:tcPr>
            <w:tcW w:w="1400" w:type="pct"/>
            <w:shd w:val="clear" w:color="auto" w:fill="FFFFFF"/>
            <w:tcMar>
              <w:top w:w="80" w:type="dxa"/>
              <w:left w:w="100" w:type="dxa"/>
              <w:bottom w:w="80" w:type="dxa"/>
              <w:right w:w="100" w:type="dxa"/>
            </w:tcMar>
          </w:tcPr>
          <w:p w14:paraId="684961FD" w14:textId="77777777" w:rsidR="001B4E2D" w:rsidRDefault="00000000">
            <w:r>
              <w:rPr>
                <w:b/>
                <w:bCs/>
                <w:sz w:val="19"/>
                <w:szCs w:val="19"/>
              </w:rPr>
              <w:t>AWS Lambda</w:t>
            </w:r>
          </w:p>
        </w:tc>
        <w:tc>
          <w:tcPr>
            <w:tcW w:w="3600" w:type="pct"/>
            <w:shd w:val="clear" w:color="auto" w:fill="FFFFFF"/>
            <w:tcMar>
              <w:top w:w="80" w:type="dxa"/>
              <w:left w:w="100" w:type="dxa"/>
              <w:bottom w:w="80" w:type="dxa"/>
              <w:right w:w="100" w:type="dxa"/>
            </w:tcMar>
          </w:tcPr>
          <w:p w14:paraId="62410E89" w14:textId="77777777" w:rsidR="001B4E2D" w:rsidRDefault="00000000">
            <w:r>
              <w:rPr>
                <w:sz w:val="19"/>
                <w:szCs w:val="19"/>
              </w:rPr>
              <w:t>Serverless compute for the Intent Extractor, State Ingestion, and Graph Diff functions; chosen over EC2 for this workload because each function runs briefly and in response to discrete events, so paying for idle EC2 capacity would be wasted spend for a student-scale prototype.</w:t>
            </w:r>
          </w:p>
        </w:tc>
      </w:tr>
      <w:tr w:rsidR="001B4E2D" w14:paraId="3A50D737" w14:textId="77777777">
        <w:tblPrEx>
          <w:tblCellMar>
            <w:top w:w="0" w:type="dxa"/>
            <w:bottom w:w="0" w:type="dxa"/>
          </w:tblCellMar>
        </w:tblPrEx>
        <w:tc>
          <w:tcPr>
            <w:tcW w:w="1400" w:type="pct"/>
            <w:shd w:val="clear" w:color="auto" w:fill="F2F2F2"/>
            <w:tcMar>
              <w:top w:w="80" w:type="dxa"/>
              <w:left w:w="100" w:type="dxa"/>
              <w:bottom w:w="80" w:type="dxa"/>
              <w:right w:w="100" w:type="dxa"/>
            </w:tcMar>
          </w:tcPr>
          <w:p w14:paraId="0A47FF82" w14:textId="77777777" w:rsidR="001B4E2D" w:rsidRDefault="00000000">
            <w:r>
              <w:rPr>
                <w:b/>
                <w:bCs/>
                <w:sz w:val="19"/>
                <w:szCs w:val="19"/>
              </w:rPr>
              <w:t>Amazon S3</w:t>
            </w:r>
          </w:p>
        </w:tc>
        <w:tc>
          <w:tcPr>
            <w:tcW w:w="3600" w:type="pct"/>
            <w:shd w:val="clear" w:color="auto" w:fill="F2F2F2"/>
            <w:tcMar>
              <w:top w:w="80" w:type="dxa"/>
              <w:left w:w="100" w:type="dxa"/>
              <w:bottom w:w="80" w:type="dxa"/>
              <w:right w:w="100" w:type="dxa"/>
            </w:tcMar>
          </w:tcPr>
          <w:p w14:paraId="0721E4BD" w14:textId="77777777" w:rsidR="001B4E2D" w:rsidRDefault="00000000">
            <w:r>
              <w:rPr>
                <w:sz w:val="19"/>
                <w:szCs w:val="19"/>
              </w:rPr>
              <w:t>Stores the raw IaC and ADR archive, AWS Config's delivery channel output, and hosts the static React dashboard; chosen for its durability guarantees and native integration with CloudFront.</w:t>
            </w:r>
          </w:p>
        </w:tc>
      </w:tr>
      <w:tr w:rsidR="001B4E2D" w14:paraId="12659E61" w14:textId="77777777">
        <w:tblPrEx>
          <w:tblCellMar>
            <w:top w:w="0" w:type="dxa"/>
            <w:bottom w:w="0" w:type="dxa"/>
          </w:tblCellMar>
        </w:tblPrEx>
        <w:tc>
          <w:tcPr>
            <w:tcW w:w="1400" w:type="pct"/>
            <w:shd w:val="clear" w:color="auto" w:fill="FFFFFF"/>
            <w:tcMar>
              <w:top w:w="80" w:type="dxa"/>
              <w:left w:w="100" w:type="dxa"/>
              <w:bottom w:w="80" w:type="dxa"/>
              <w:right w:w="100" w:type="dxa"/>
            </w:tcMar>
          </w:tcPr>
          <w:p w14:paraId="4A5D276E" w14:textId="77777777" w:rsidR="001B4E2D" w:rsidRDefault="00000000">
            <w:r>
              <w:rPr>
                <w:b/>
                <w:bCs/>
                <w:sz w:val="19"/>
                <w:szCs w:val="19"/>
              </w:rPr>
              <w:t>Amazon DynamoDB</w:t>
            </w:r>
          </w:p>
        </w:tc>
        <w:tc>
          <w:tcPr>
            <w:tcW w:w="3600" w:type="pct"/>
            <w:shd w:val="clear" w:color="auto" w:fill="FFFFFF"/>
            <w:tcMar>
              <w:top w:w="80" w:type="dxa"/>
              <w:left w:w="100" w:type="dxa"/>
              <w:bottom w:w="80" w:type="dxa"/>
              <w:right w:w="100" w:type="dxa"/>
            </w:tcMar>
          </w:tcPr>
          <w:p w14:paraId="72BE879E" w14:textId="77777777" w:rsidR="001B4E2D" w:rsidRDefault="00000000">
            <w:r>
              <w:rPr>
                <w:sz w:val="19"/>
                <w:szCs w:val="19"/>
              </w:rPr>
              <w:t>Holds the IntentGraph, AsIsGraph, and Findings tables as flexible, on-demand-billed key-value/document data — a better fit than a rigid relational schema for a graph whose node and edge shapes vary by AWS resource type.</w:t>
            </w:r>
          </w:p>
        </w:tc>
      </w:tr>
      <w:tr w:rsidR="001B4E2D" w14:paraId="7540E987" w14:textId="77777777">
        <w:tblPrEx>
          <w:tblCellMar>
            <w:top w:w="0" w:type="dxa"/>
            <w:bottom w:w="0" w:type="dxa"/>
          </w:tblCellMar>
        </w:tblPrEx>
        <w:tc>
          <w:tcPr>
            <w:tcW w:w="1400" w:type="pct"/>
            <w:shd w:val="clear" w:color="auto" w:fill="F2F2F2"/>
            <w:tcMar>
              <w:top w:w="80" w:type="dxa"/>
              <w:left w:w="100" w:type="dxa"/>
              <w:bottom w:w="80" w:type="dxa"/>
              <w:right w:w="100" w:type="dxa"/>
            </w:tcMar>
          </w:tcPr>
          <w:p w14:paraId="5F79AAF4" w14:textId="77777777" w:rsidR="001B4E2D" w:rsidRDefault="00000000">
            <w:r>
              <w:rPr>
                <w:b/>
                <w:bCs/>
                <w:sz w:val="19"/>
                <w:szCs w:val="19"/>
              </w:rPr>
              <w:t>Amazon EventBridge</w:t>
            </w:r>
          </w:p>
        </w:tc>
        <w:tc>
          <w:tcPr>
            <w:tcW w:w="3600" w:type="pct"/>
            <w:shd w:val="clear" w:color="auto" w:fill="F2F2F2"/>
            <w:tcMar>
              <w:top w:w="80" w:type="dxa"/>
              <w:left w:w="100" w:type="dxa"/>
              <w:bottom w:w="80" w:type="dxa"/>
              <w:right w:w="100" w:type="dxa"/>
            </w:tcMar>
          </w:tcPr>
          <w:p w14:paraId="59A049ED" w14:textId="77777777" w:rsidR="001B4E2D" w:rsidRDefault="00000000">
            <w:r>
              <w:rPr>
                <w:sz w:val="19"/>
                <w:szCs w:val="19"/>
              </w:rPr>
              <w:t>The event bus that reacts to AWS Config compliance-change events and CloudTrail events in near real time, replacing the periodic-batch-scan pattern common in existing tooling with an event-driven one.</w:t>
            </w:r>
          </w:p>
        </w:tc>
      </w:tr>
      <w:tr w:rsidR="001B4E2D" w14:paraId="3FCE7BDF" w14:textId="77777777">
        <w:tblPrEx>
          <w:tblCellMar>
            <w:top w:w="0" w:type="dxa"/>
            <w:bottom w:w="0" w:type="dxa"/>
          </w:tblCellMar>
        </w:tblPrEx>
        <w:tc>
          <w:tcPr>
            <w:tcW w:w="1400" w:type="pct"/>
            <w:shd w:val="clear" w:color="auto" w:fill="FFFFFF"/>
            <w:tcMar>
              <w:top w:w="80" w:type="dxa"/>
              <w:left w:w="100" w:type="dxa"/>
              <w:bottom w:w="80" w:type="dxa"/>
              <w:right w:w="100" w:type="dxa"/>
            </w:tcMar>
          </w:tcPr>
          <w:p w14:paraId="564BD77A" w14:textId="77777777" w:rsidR="001B4E2D" w:rsidRDefault="00000000">
            <w:r>
              <w:rPr>
                <w:b/>
                <w:bCs/>
                <w:sz w:val="19"/>
                <w:szCs w:val="19"/>
              </w:rPr>
              <w:t>AWS Step Functions</w:t>
            </w:r>
          </w:p>
        </w:tc>
        <w:tc>
          <w:tcPr>
            <w:tcW w:w="3600" w:type="pct"/>
            <w:shd w:val="clear" w:color="auto" w:fill="FFFFFF"/>
            <w:tcMar>
              <w:top w:w="80" w:type="dxa"/>
              <w:left w:w="100" w:type="dxa"/>
              <w:bottom w:w="80" w:type="dxa"/>
              <w:right w:w="100" w:type="dxa"/>
            </w:tcMar>
          </w:tcPr>
          <w:p w14:paraId="369651D7" w14:textId="77777777" w:rsidR="001B4E2D" w:rsidRDefault="00000000">
            <w:r>
              <w:rPr>
                <w:sz w:val="19"/>
                <w:szCs w:val="19"/>
              </w:rPr>
              <w:t>Orchestrates the multi-step Conformance Evaluator workflow and the approval-gated remediation workflow, including the human-in-the-loop wait state, with built-in retry and error handling that would otherwise have to be hand-written.</w:t>
            </w:r>
          </w:p>
        </w:tc>
      </w:tr>
      <w:tr w:rsidR="001B4E2D" w14:paraId="5A9FEE03" w14:textId="77777777">
        <w:tblPrEx>
          <w:tblCellMar>
            <w:top w:w="0" w:type="dxa"/>
            <w:bottom w:w="0" w:type="dxa"/>
          </w:tblCellMar>
        </w:tblPrEx>
        <w:tc>
          <w:tcPr>
            <w:tcW w:w="1400" w:type="pct"/>
            <w:shd w:val="clear" w:color="auto" w:fill="F2F2F2"/>
            <w:tcMar>
              <w:top w:w="80" w:type="dxa"/>
              <w:left w:w="100" w:type="dxa"/>
              <w:bottom w:w="80" w:type="dxa"/>
              <w:right w:w="100" w:type="dxa"/>
            </w:tcMar>
          </w:tcPr>
          <w:p w14:paraId="6F7300E3" w14:textId="77777777" w:rsidR="001B4E2D" w:rsidRDefault="00000000">
            <w:r>
              <w:rPr>
                <w:b/>
                <w:bCs/>
                <w:sz w:val="19"/>
                <w:szCs w:val="19"/>
              </w:rPr>
              <w:t>Amazon Bedrock</w:t>
            </w:r>
          </w:p>
        </w:tc>
        <w:tc>
          <w:tcPr>
            <w:tcW w:w="3600" w:type="pct"/>
            <w:shd w:val="clear" w:color="auto" w:fill="F2F2F2"/>
            <w:tcMar>
              <w:top w:w="80" w:type="dxa"/>
              <w:left w:w="100" w:type="dxa"/>
              <w:bottom w:w="80" w:type="dxa"/>
              <w:right w:w="100" w:type="dxa"/>
            </w:tcMar>
          </w:tcPr>
          <w:p w14:paraId="29F5ED5E" w14:textId="77777777" w:rsidR="001B4E2D" w:rsidRDefault="00000000">
            <w:r>
              <w:rPr>
                <w:sz w:val="19"/>
                <w:szCs w:val="19"/>
              </w:rPr>
              <w:t>Provides the managed large-language-model access used to (a) extract structured intent from free-text ADRs and IaC comments and (b) generate the semantic drift explanation and severity judgement for ambiguous cases, without the platform having to operate its own model infrastructure.</w:t>
            </w:r>
          </w:p>
        </w:tc>
      </w:tr>
      <w:tr w:rsidR="001B4E2D" w14:paraId="4389478C" w14:textId="77777777">
        <w:tblPrEx>
          <w:tblCellMar>
            <w:top w:w="0" w:type="dxa"/>
            <w:bottom w:w="0" w:type="dxa"/>
          </w:tblCellMar>
        </w:tblPrEx>
        <w:tc>
          <w:tcPr>
            <w:tcW w:w="1400" w:type="pct"/>
            <w:shd w:val="clear" w:color="auto" w:fill="FFFFFF"/>
            <w:tcMar>
              <w:top w:w="80" w:type="dxa"/>
              <w:left w:w="100" w:type="dxa"/>
              <w:bottom w:w="80" w:type="dxa"/>
              <w:right w:w="100" w:type="dxa"/>
            </w:tcMar>
          </w:tcPr>
          <w:p w14:paraId="447AD224" w14:textId="77777777" w:rsidR="001B4E2D" w:rsidRDefault="00000000">
            <w:r>
              <w:rPr>
                <w:b/>
                <w:bCs/>
                <w:sz w:val="19"/>
                <w:szCs w:val="19"/>
              </w:rPr>
              <w:t>Amazon ECS on AWS Fargate + Application Load Balancer</w:t>
            </w:r>
          </w:p>
        </w:tc>
        <w:tc>
          <w:tcPr>
            <w:tcW w:w="3600" w:type="pct"/>
            <w:shd w:val="clear" w:color="auto" w:fill="FFFFFF"/>
            <w:tcMar>
              <w:top w:w="80" w:type="dxa"/>
              <w:left w:w="100" w:type="dxa"/>
              <w:bottom w:w="80" w:type="dxa"/>
              <w:right w:w="100" w:type="dxa"/>
            </w:tcMar>
          </w:tcPr>
          <w:p w14:paraId="36DC7BE1" w14:textId="77777777" w:rsidR="001B4E2D" w:rsidRDefault="00000000">
            <w:r>
              <w:rPr>
                <w:sz w:val="19"/>
                <w:szCs w:val="19"/>
              </w:rPr>
              <w:t>Hosts the multi-agent, RIVA-inspired cross-validation reasoning service for cases that exceed Lambda's execution-time limits, behind an Application Load Balancer so the service can be called synchronously by Step Functions across multiple availability zones.</w:t>
            </w:r>
          </w:p>
        </w:tc>
      </w:tr>
      <w:tr w:rsidR="001B4E2D" w14:paraId="3F044159" w14:textId="77777777">
        <w:tblPrEx>
          <w:tblCellMar>
            <w:top w:w="0" w:type="dxa"/>
            <w:bottom w:w="0" w:type="dxa"/>
          </w:tblCellMar>
        </w:tblPrEx>
        <w:tc>
          <w:tcPr>
            <w:tcW w:w="1400" w:type="pct"/>
            <w:shd w:val="clear" w:color="auto" w:fill="F2F2F2"/>
            <w:tcMar>
              <w:top w:w="80" w:type="dxa"/>
              <w:left w:w="100" w:type="dxa"/>
              <w:bottom w:w="80" w:type="dxa"/>
              <w:right w:w="100" w:type="dxa"/>
            </w:tcMar>
          </w:tcPr>
          <w:p w14:paraId="048A936A" w14:textId="77777777" w:rsidR="001B4E2D" w:rsidRDefault="00000000">
            <w:r>
              <w:rPr>
                <w:b/>
                <w:bCs/>
                <w:sz w:val="19"/>
                <w:szCs w:val="19"/>
              </w:rPr>
              <w:t>AWS Systems Manager (SSM) Automation</w:t>
            </w:r>
          </w:p>
        </w:tc>
        <w:tc>
          <w:tcPr>
            <w:tcW w:w="3600" w:type="pct"/>
            <w:shd w:val="clear" w:color="auto" w:fill="F2F2F2"/>
            <w:tcMar>
              <w:top w:w="80" w:type="dxa"/>
              <w:left w:w="100" w:type="dxa"/>
              <w:bottom w:w="80" w:type="dxa"/>
              <w:right w:w="100" w:type="dxa"/>
            </w:tcMar>
          </w:tcPr>
          <w:p w14:paraId="5345FCE8" w14:textId="77777777" w:rsidR="001B4E2D" w:rsidRDefault="00000000">
            <w:r>
              <w:rPr>
                <w:sz w:val="19"/>
                <w:szCs w:val="19"/>
              </w:rPr>
              <w:t>Executes the actual approved remediation runbooks (for example, revoking an over-permissive security-group rule) using pre-written, reviewed automation documents rather than ad hoc scripts, which keeps every remediation action auditable and reversible.</w:t>
            </w:r>
          </w:p>
        </w:tc>
      </w:tr>
      <w:tr w:rsidR="001B4E2D" w14:paraId="7C20650F" w14:textId="77777777">
        <w:tblPrEx>
          <w:tblCellMar>
            <w:top w:w="0" w:type="dxa"/>
            <w:bottom w:w="0" w:type="dxa"/>
          </w:tblCellMar>
        </w:tblPrEx>
        <w:tc>
          <w:tcPr>
            <w:tcW w:w="1400" w:type="pct"/>
            <w:shd w:val="clear" w:color="auto" w:fill="FFFFFF"/>
            <w:tcMar>
              <w:top w:w="80" w:type="dxa"/>
              <w:left w:w="100" w:type="dxa"/>
              <w:bottom w:w="80" w:type="dxa"/>
              <w:right w:w="100" w:type="dxa"/>
            </w:tcMar>
          </w:tcPr>
          <w:p w14:paraId="214BD0D8" w14:textId="77777777" w:rsidR="001B4E2D" w:rsidRDefault="00000000">
            <w:r>
              <w:rPr>
                <w:b/>
                <w:bCs/>
                <w:sz w:val="19"/>
                <w:szCs w:val="19"/>
              </w:rPr>
              <w:t>Amazon SNS</w:t>
            </w:r>
          </w:p>
        </w:tc>
        <w:tc>
          <w:tcPr>
            <w:tcW w:w="3600" w:type="pct"/>
            <w:shd w:val="clear" w:color="auto" w:fill="FFFFFF"/>
            <w:tcMar>
              <w:top w:w="80" w:type="dxa"/>
              <w:left w:w="100" w:type="dxa"/>
              <w:bottom w:w="80" w:type="dxa"/>
              <w:right w:w="100" w:type="dxa"/>
            </w:tcMar>
          </w:tcPr>
          <w:p w14:paraId="7497BC51" w14:textId="77777777" w:rsidR="001B4E2D" w:rsidRDefault="00000000">
            <w:r>
              <w:rPr>
                <w:sz w:val="19"/>
                <w:szCs w:val="19"/>
              </w:rPr>
              <w:t>Delivers alerts to Slack, email, and on-call rotations, and carries the human-approval request for gated remediation.</w:t>
            </w:r>
          </w:p>
        </w:tc>
      </w:tr>
      <w:tr w:rsidR="001B4E2D" w14:paraId="333FB8CF" w14:textId="77777777">
        <w:tblPrEx>
          <w:tblCellMar>
            <w:top w:w="0" w:type="dxa"/>
            <w:bottom w:w="0" w:type="dxa"/>
          </w:tblCellMar>
        </w:tblPrEx>
        <w:tc>
          <w:tcPr>
            <w:tcW w:w="1400" w:type="pct"/>
            <w:shd w:val="clear" w:color="auto" w:fill="F2F2F2"/>
            <w:tcMar>
              <w:top w:w="80" w:type="dxa"/>
              <w:left w:w="100" w:type="dxa"/>
              <w:bottom w:w="80" w:type="dxa"/>
              <w:right w:w="100" w:type="dxa"/>
            </w:tcMar>
          </w:tcPr>
          <w:p w14:paraId="01D1F78D" w14:textId="77777777" w:rsidR="001B4E2D" w:rsidRDefault="00000000">
            <w:r>
              <w:rPr>
                <w:b/>
                <w:bCs/>
                <w:sz w:val="19"/>
                <w:szCs w:val="19"/>
              </w:rPr>
              <w:t>AWS Security Hub</w:t>
            </w:r>
          </w:p>
        </w:tc>
        <w:tc>
          <w:tcPr>
            <w:tcW w:w="3600" w:type="pct"/>
            <w:shd w:val="clear" w:color="auto" w:fill="F2F2F2"/>
            <w:tcMar>
              <w:top w:w="80" w:type="dxa"/>
              <w:left w:w="100" w:type="dxa"/>
              <w:bottom w:w="80" w:type="dxa"/>
              <w:right w:w="100" w:type="dxa"/>
            </w:tcMar>
          </w:tcPr>
          <w:p w14:paraId="6F127C84" w14:textId="77777777" w:rsidR="001B4E2D" w:rsidRDefault="00000000">
            <w:r>
              <w:rPr>
                <w:sz w:val="19"/>
                <w:szCs w:val="19"/>
              </w:rPr>
              <w:t>Aggregates findings in the standard ASFF format so this platform's output slots into whatever SOC tooling and dashboards a customer already has, instead of requiring them to abandon their existing aggregation layer.</w:t>
            </w:r>
          </w:p>
        </w:tc>
      </w:tr>
      <w:tr w:rsidR="001B4E2D" w14:paraId="6A0CACB2" w14:textId="77777777">
        <w:tblPrEx>
          <w:tblCellMar>
            <w:top w:w="0" w:type="dxa"/>
            <w:bottom w:w="0" w:type="dxa"/>
          </w:tblCellMar>
        </w:tblPrEx>
        <w:tc>
          <w:tcPr>
            <w:tcW w:w="1400" w:type="pct"/>
            <w:shd w:val="clear" w:color="auto" w:fill="FFFFFF"/>
            <w:tcMar>
              <w:top w:w="80" w:type="dxa"/>
              <w:left w:w="100" w:type="dxa"/>
              <w:bottom w:w="80" w:type="dxa"/>
              <w:right w:w="100" w:type="dxa"/>
            </w:tcMar>
          </w:tcPr>
          <w:p w14:paraId="2EA1BA7C" w14:textId="77777777" w:rsidR="001B4E2D" w:rsidRDefault="00000000">
            <w:r>
              <w:rPr>
                <w:b/>
                <w:bCs/>
                <w:sz w:val="19"/>
                <w:szCs w:val="19"/>
              </w:rPr>
              <w:t>Amazon API Gateway</w:t>
            </w:r>
          </w:p>
        </w:tc>
        <w:tc>
          <w:tcPr>
            <w:tcW w:w="3600" w:type="pct"/>
            <w:shd w:val="clear" w:color="auto" w:fill="FFFFFF"/>
            <w:tcMar>
              <w:top w:w="80" w:type="dxa"/>
              <w:left w:w="100" w:type="dxa"/>
              <w:bottom w:w="80" w:type="dxa"/>
              <w:right w:w="100" w:type="dxa"/>
            </w:tcMar>
          </w:tcPr>
          <w:p w14:paraId="0D7C065C" w14:textId="77777777" w:rsidR="001B4E2D" w:rsidRDefault="00000000">
            <w:r>
              <w:rPr>
                <w:sz w:val="19"/>
                <w:szCs w:val="19"/>
              </w:rPr>
              <w:t>Exposes the REST backend that the dashboard calls to read findings, graphs, and remediation history.</w:t>
            </w:r>
          </w:p>
        </w:tc>
      </w:tr>
      <w:tr w:rsidR="001B4E2D" w14:paraId="40A9C6F6" w14:textId="77777777">
        <w:tblPrEx>
          <w:tblCellMar>
            <w:top w:w="0" w:type="dxa"/>
            <w:bottom w:w="0" w:type="dxa"/>
          </w:tblCellMar>
        </w:tblPrEx>
        <w:tc>
          <w:tcPr>
            <w:tcW w:w="1400" w:type="pct"/>
            <w:shd w:val="clear" w:color="auto" w:fill="F2F2F2"/>
            <w:tcMar>
              <w:top w:w="80" w:type="dxa"/>
              <w:left w:w="100" w:type="dxa"/>
              <w:bottom w:w="80" w:type="dxa"/>
              <w:right w:w="100" w:type="dxa"/>
            </w:tcMar>
          </w:tcPr>
          <w:p w14:paraId="034A0820" w14:textId="77777777" w:rsidR="001B4E2D" w:rsidRDefault="00000000">
            <w:r>
              <w:rPr>
                <w:b/>
                <w:bCs/>
                <w:sz w:val="19"/>
                <w:szCs w:val="19"/>
              </w:rPr>
              <w:t>Amazon Cognito</w:t>
            </w:r>
          </w:p>
        </w:tc>
        <w:tc>
          <w:tcPr>
            <w:tcW w:w="3600" w:type="pct"/>
            <w:shd w:val="clear" w:color="auto" w:fill="F2F2F2"/>
            <w:tcMar>
              <w:top w:w="80" w:type="dxa"/>
              <w:left w:w="100" w:type="dxa"/>
              <w:bottom w:w="80" w:type="dxa"/>
              <w:right w:w="100" w:type="dxa"/>
            </w:tcMar>
          </w:tcPr>
          <w:p w14:paraId="4A2676D6" w14:textId="77777777" w:rsidR="001B4E2D" w:rsidRDefault="00000000">
            <w:r>
              <w:rPr>
                <w:sz w:val="19"/>
                <w:szCs w:val="19"/>
              </w:rPr>
              <w:t>Provides authentication for the dashboard so that findings — which include architecture and security detail — are only visible to authorised users.</w:t>
            </w:r>
          </w:p>
        </w:tc>
      </w:tr>
      <w:tr w:rsidR="001B4E2D" w14:paraId="2BCB98D9" w14:textId="77777777">
        <w:tblPrEx>
          <w:tblCellMar>
            <w:top w:w="0" w:type="dxa"/>
            <w:bottom w:w="0" w:type="dxa"/>
          </w:tblCellMar>
        </w:tblPrEx>
        <w:tc>
          <w:tcPr>
            <w:tcW w:w="1400" w:type="pct"/>
            <w:shd w:val="clear" w:color="auto" w:fill="FFFFFF"/>
            <w:tcMar>
              <w:top w:w="80" w:type="dxa"/>
              <w:left w:w="100" w:type="dxa"/>
              <w:bottom w:w="80" w:type="dxa"/>
              <w:right w:w="100" w:type="dxa"/>
            </w:tcMar>
          </w:tcPr>
          <w:p w14:paraId="4C42A654" w14:textId="77777777" w:rsidR="001B4E2D" w:rsidRDefault="00000000">
            <w:r>
              <w:rPr>
                <w:b/>
                <w:bCs/>
                <w:sz w:val="19"/>
                <w:szCs w:val="19"/>
              </w:rPr>
              <w:t>Amazon CloudFront + AWS WAF</w:t>
            </w:r>
          </w:p>
        </w:tc>
        <w:tc>
          <w:tcPr>
            <w:tcW w:w="3600" w:type="pct"/>
            <w:shd w:val="clear" w:color="auto" w:fill="FFFFFF"/>
            <w:tcMar>
              <w:top w:w="80" w:type="dxa"/>
              <w:left w:w="100" w:type="dxa"/>
              <w:bottom w:w="80" w:type="dxa"/>
              <w:right w:w="100" w:type="dxa"/>
            </w:tcMar>
          </w:tcPr>
          <w:p w14:paraId="33F3D1FD" w14:textId="77777777" w:rsidR="001B4E2D" w:rsidRDefault="00000000">
            <w:r>
              <w:rPr>
                <w:sz w:val="19"/>
                <w:szCs w:val="19"/>
              </w:rPr>
              <w:t>Serves the dashboard's static assets from the edge for low latency and puts a managed web-application firewall in front of the public-facing API Gateway and CloudFront distribution.</w:t>
            </w:r>
          </w:p>
        </w:tc>
      </w:tr>
      <w:tr w:rsidR="001B4E2D" w14:paraId="6565BEAA" w14:textId="77777777">
        <w:tblPrEx>
          <w:tblCellMar>
            <w:top w:w="0" w:type="dxa"/>
            <w:bottom w:w="0" w:type="dxa"/>
          </w:tblCellMar>
        </w:tblPrEx>
        <w:tc>
          <w:tcPr>
            <w:tcW w:w="1400" w:type="pct"/>
            <w:shd w:val="clear" w:color="auto" w:fill="F2F2F2"/>
            <w:tcMar>
              <w:top w:w="80" w:type="dxa"/>
              <w:left w:w="100" w:type="dxa"/>
              <w:bottom w:w="80" w:type="dxa"/>
              <w:right w:w="100" w:type="dxa"/>
            </w:tcMar>
          </w:tcPr>
          <w:p w14:paraId="3CB390AD" w14:textId="77777777" w:rsidR="001B4E2D" w:rsidRDefault="00000000">
            <w:r>
              <w:rPr>
                <w:b/>
                <w:bCs/>
                <w:sz w:val="19"/>
                <w:szCs w:val="19"/>
              </w:rPr>
              <w:t>Amazon RDS (PostgreSQL)</w:t>
            </w:r>
          </w:p>
        </w:tc>
        <w:tc>
          <w:tcPr>
            <w:tcW w:w="3600" w:type="pct"/>
            <w:shd w:val="clear" w:color="auto" w:fill="F2F2F2"/>
            <w:tcMar>
              <w:top w:w="80" w:type="dxa"/>
              <w:left w:w="100" w:type="dxa"/>
              <w:bottom w:w="80" w:type="dxa"/>
              <w:right w:w="100" w:type="dxa"/>
            </w:tcMar>
          </w:tcPr>
          <w:p w14:paraId="4FC22080" w14:textId="77777777" w:rsidR="001B4E2D" w:rsidRDefault="00000000">
            <w:r>
              <w:rPr>
                <w:sz w:val="19"/>
                <w:szCs w:val="19"/>
              </w:rPr>
              <w:t>Acts as the structured, relational system of record for the compliance audit trail — who approved what, when, and why — because auditors and compliance reports need reliable joins and point-in-time queries that a key-value store is not designed to provide efficiently.</w:t>
            </w:r>
          </w:p>
        </w:tc>
      </w:tr>
      <w:tr w:rsidR="001B4E2D" w14:paraId="6737D9B9" w14:textId="77777777">
        <w:tblPrEx>
          <w:tblCellMar>
            <w:top w:w="0" w:type="dxa"/>
            <w:bottom w:w="0" w:type="dxa"/>
          </w:tblCellMar>
        </w:tblPrEx>
        <w:tc>
          <w:tcPr>
            <w:tcW w:w="1400" w:type="pct"/>
            <w:shd w:val="clear" w:color="auto" w:fill="FFFFFF"/>
            <w:tcMar>
              <w:top w:w="80" w:type="dxa"/>
              <w:left w:w="100" w:type="dxa"/>
              <w:bottom w:w="80" w:type="dxa"/>
              <w:right w:w="100" w:type="dxa"/>
            </w:tcMar>
          </w:tcPr>
          <w:p w14:paraId="0B507CBE" w14:textId="77777777" w:rsidR="001B4E2D" w:rsidRDefault="00000000">
            <w:r>
              <w:rPr>
                <w:b/>
                <w:bCs/>
                <w:sz w:val="19"/>
                <w:szCs w:val="19"/>
              </w:rPr>
              <w:t>Amazon CloudWatch (+ AWS X-Ray)</w:t>
            </w:r>
          </w:p>
        </w:tc>
        <w:tc>
          <w:tcPr>
            <w:tcW w:w="3600" w:type="pct"/>
            <w:shd w:val="clear" w:color="auto" w:fill="FFFFFF"/>
            <w:tcMar>
              <w:top w:w="80" w:type="dxa"/>
              <w:left w:w="100" w:type="dxa"/>
              <w:bottom w:w="80" w:type="dxa"/>
              <w:right w:w="100" w:type="dxa"/>
            </w:tcMar>
          </w:tcPr>
          <w:p w14:paraId="29CE379A" w14:textId="77777777" w:rsidR="001B4E2D" w:rsidRDefault="00000000">
            <w:r>
              <w:rPr>
                <w:sz w:val="19"/>
                <w:szCs w:val="19"/>
              </w:rPr>
              <w:t>Provides logs, metrics, alarms, and distributed tracing across every Lambda, Fargate, and Step Functions component so the platform's own operation is observable, not just the customer's environment.</w:t>
            </w:r>
          </w:p>
        </w:tc>
      </w:tr>
      <w:tr w:rsidR="001B4E2D" w14:paraId="3AE1D6C5" w14:textId="77777777">
        <w:tblPrEx>
          <w:tblCellMar>
            <w:top w:w="0" w:type="dxa"/>
            <w:bottom w:w="0" w:type="dxa"/>
          </w:tblCellMar>
        </w:tblPrEx>
        <w:tc>
          <w:tcPr>
            <w:tcW w:w="1400" w:type="pct"/>
            <w:shd w:val="clear" w:color="auto" w:fill="F2F2F2"/>
            <w:tcMar>
              <w:top w:w="80" w:type="dxa"/>
              <w:left w:w="100" w:type="dxa"/>
              <w:bottom w:w="80" w:type="dxa"/>
              <w:right w:w="100" w:type="dxa"/>
            </w:tcMar>
          </w:tcPr>
          <w:p w14:paraId="64A872AF" w14:textId="77777777" w:rsidR="001B4E2D" w:rsidRDefault="00000000">
            <w:r>
              <w:rPr>
                <w:b/>
                <w:bCs/>
                <w:sz w:val="19"/>
                <w:szCs w:val="19"/>
              </w:rPr>
              <w:lastRenderedPageBreak/>
              <w:t>AWS Key Management Service (KMS)</w:t>
            </w:r>
          </w:p>
        </w:tc>
        <w:tc>
          <w:tcPr>
            <w:tcW w:w="3600" w:type="pct"/>
            <w:shd w:val="clear" w:color="auto" w:fill="F2F2F2"/>
            <w:tcMar>
              <w:top w:w="80" w:type="dxa"/>
              <w:left w:w="100" w:type="dxa"/>
              <w:bottom w:w="80" w:type="dxa"/>
              <w:right w:w="100" w:type="dxa"/>
            </w:tcMar>
          </w:tcPr>
          <w:p w14:paraId="2D4493AB" w14:textId="77777777" w:rsidR="001B4E2D" w:rsidRDefault="00000000">
            <w:r>
              <w:rPr>
                <w:sz w:val="19"/>
                <w:szCs w:val="19"/>
              </w:rPr>
              <w:t>Encrypts data at rest across S3, DynamoDB, and RDS with customer-managed keys, since the platform itself stores security-sensitive findings and architecture detail that deserve at least the same protection as the resources it is monitoring.</w:t>
            </w:r>
          </w:p>
        </w:tc>
      </w:tr>
      <w:tr w:rsidR="001B4E2D" w14:paraId="268E34D5" w14:textId="77777777">
        <w:tblPrEx>
          <w:tblCellMar>
            <w:top w:w="0" w:type="dxa"/>
            <w:bottom w:w="0" w:type="dxa"/>
          </w:tblCellMar>
        </w:tblPrEx>
        <w:tc>
          <w:tcPr>
            <w:tcW w:w="1400" w:type="pct"/>
            <w:shd w:val="clear" w:color="auto" w:fill="FFFFFF"/>
            <w:tcMar>
              <w:top w:w="80" w:type="dxa"/>
              <w:left w:w="100" w:type="dxa"/>
              <w:bottom w:w="80" w:type="dxa"/>
              <w:right w:w="100" w:type="dxa"/>
            </w:tcMar>
          </w:tcPr>
          <w:p w14:paraId="04F920A2" w14:textId="77777777" w:rsidR="001B4E2D" w:rsidRDefault="00000000">
            <w:r>
              <w:rPr>
                <w:b/>
                <w:bCs/>
                <w:sz w:val="19"/>
                <w:szCs w:val="19"/>
              </w:rPr>
              <w:t>AWS Organizations</w:t>
            </w:r>
          </w:p>
        </w:tc>
        <w:tc>
          <w:tcPr>
            <w:tcW w:w="3600" w:type="pct"/>
            <w:shd w:val="clear" w:color="auto" w:fill="FFFFFF"/>
            <w:tcMar>
              <w:top w:w="80" w:type="dxa"/>
              <w:left w:w="100" w:type="dxa"/>
              <w:bottom w:w="80" w:type="dxa"/>
              <w:right w:w="100" w:type="dxa"/>
            </w:tcMar>
          </w:tcPr>
          <w:p w14:paraId="64658AE4" w14:textId="77777777" w:rsidR="001B4E2D" w:rsidRDefault="00000000">
            <w:r>
              <w:rPr>
                <w:sz w:val="19"/>
                <w:szCs w:val="19"/>
              </w:rPr>
              <w:t>Enables the Config aggregator to operate across a multi-account landing zone, which is how most real AWS estates of any size are actually structured.</w:t>
            </w:r>
          </w:p>
        </w:tc>
      </w:tr>
    </w:tbl>
    <w:p w14:paraId="388D875A" w14:textId="77777777" w:rsidR="001B4E2D" w:rsidRDefault="00000000">
      <w:pPr>
        <w:spacing w:after="200" w:line="300" w:lineRule="auto"/>
        <w:jc w:val="both"/>
      </w:pPr>
      <w:r>
        <w:t>A deliberate design decision worth calling out is the near-total absence of AWS EC2 instances running full-time. Nearly every AWS course example architecture defaults to EC2 plus a Load Balancer for compute; here, Lambda and Fargate were chosen instead because the workload is fundamentally event-driven and bursty rather than continuously busy, and a small always-on fleet of EC2 instances would sit idle for the majority of the time in a realistic deployment, which runs directly against the cost-optimisation objective stated in Section 2.</w:t>
      </w:r>
    </w:p>
    <w:p w14:paraId="288E5579" w14:textId="2B8D420C" w:rsidR="001B4E2D" w:rsidRDefault="001B4E2D"/>
    <w:p w14:paraId="5A3F34E4" w14:textId="77777777" w:rsidR="00DE0682" w:rsidRDefault="00DE0682">
      <w:pPr>
        <w:pStyle w:val="Heading1"/>
        <w:pBdr>
          <w:bottom w:val="single" w:sz="8" w:space="4" w:color="1F3864"/>
        </w:pBdr>
        <w:spacing w:before="320" w:after="160"/>
        <w:rPr>
          <w:b/>
          <w:bCs/>
          <w:color w:val="1F3864"/>
          <w:sz w:val="30"/>
          <w:szCs w:val="30"/>
        </w:rPr>
      </w:pPr>
    </w:p>
    <w:p w14:paraId="45DF84EA" w14:textId="77777777" w:rsidR="00DE0682" w:rsidRDefault="00DE0682">
      <w:pPr>
        <w:pStyle w:val="Heading1"/>
        <w:pBdr>
          <w:bottom w:val="single" w:sz="8" w:space="4" w:color="1F3864"/>
        </w:pBdr>
        <w:spacing w:before="320" w:after="160"/>
        <w:rPr>
          <w:b/>
          <w:bCs/>
          <w:color w:val="1F3864"/>
          <w:sz w:val="30"/>
          <w:szCs w:val="30"/>
        </w:rPr>
      </w:pPr>
    </w:p>
    <w:p w14:paraId="76916D80" w14:textId="77777777" w:rsidR="00DE0682" w:rsidRDefault="00DE0682">
      <w:pPr>
        <w:pStyle w:val="Heading1"/>
        <w:pBdr>
          <w:bottom w:val="single" w:sz="8" w:space="4" w:color="1F3864"/>
        </w:pBdr>
        <w:spacing w:before="320" w:after="160"/>
        <w:rPr>
          <w:b/>
          <w:bCs/>
          <w:color w:val="1F3864"/>
          <w:sz w:val="30"/>
          <w:szCs w:val="30"/>
        </w:rPr>
      </w:pPr>
    </w:p>
    <w:p w14:paraId="029C7570" w14:textId="77777777" w:rsidR="00DE0682" w:rsidRDefault="00DE0682">
      <w:pPr>
        <w:pStyle w:val="Heading1"/>
        <w:pBdr>
          <w:bottom w:val="single" w:sz="8" w:space="4" w:color="1F3864"/>
        </w:pBdr>
        <w:spacing w:before="320" w:after="160"/>
        <w:rPr>
          <w:b/>
          <w:bCs/>
          <w:color w:val="1F3864"/>
          <w:sz w:val="30"/>
          <w:szCs w:val="30"/>
        </w:rPr>
      </w:pPr>
    </w:p>
    <w:p w14:paraId="305E5AF1" w14:textId="77777777" w:rsidR="00DE0682" w:rsidRDefault="00DE0682">
      <w:pPr>
        <w:pStyle w:val="Heading1"/>
        <w:pBdr>
          <w:bottom w:val="single" w:sz="8" w:space="4" w:color="1F3864"/>
        </w:pBdr>
        <w:spacing w:before="320" w:after="160"/>
        <w:rPr>
          <w:b/>
          <w:bCs/>
          <w:color w:val="1F3864"/>
          <w:sz w:val="30"/>
          <w:szCs w:val="30"/>
        </w:rPr>
      </w:pPr>
    </w:p>
    <w:p w14:paraId="05F716F5" w14:textId="77777777" w:rsidR="00DE0682" w:rsidRDefault="00DE0682">
      <w:pPr>
        <w:pStyle w:val="Heading1"/>
        <w:pBdr>
          <w:bottom w:val="single" w:sz="8" w:space="4" w:color="1F3864"/>
        </w:pBdr>
        <w:spacing w:before="320" w:after="160"/>
        <w:rPr>
          <w:b/>
          <w:bCs/>
          <w:color w:val="1F3864"/>
          <w:sz w:val="30"/>
          <w:szCs w:val="30"/>
        </w:rPr>
      </w:pPr>
    </w:p>
    <w:p w14:paraId="5532922F" w14:textId="77777777" w:rsidR="00DE0682" w:rsidRDefault="00DE0682">
      <w:pPr>
        <w:pStyle w:val="Heading1"/>
        <w:pBdr>
          <w:bottom w:val="single" w:sz="8" w:space="4" w:color="1F3864"/>
        </w:pBdr>
        <w:spacing w:before="320" w:after="160"/>
        <w:rPr>
          <w:b/>
          <w:bCs/>
          <w:color w:val="1F3864"/>
          <w:sz w:val="30"/>
          <w:szCs w:val="30"/>
        </w:rPr>
      </w:pPr>
    </w:p>
    <w:p w14:paraId="0EA64E56" w14:textId="77777777" w:rsidR="00DE0682" w:rsidRDefault="00DE0682">
      <w:pPr>
        <w:pStyle w:val="Heading1"/>
        <w:pBdr>
          <w:bottom w:val="single" w:sz="8" w:space="4" w:color="1F3864"/>
        </w:pBdr>
        <w:spacing w:before="320" w:after="160"/>
        <w:rPr>
          <w:b/>
          <w:bCs/>
          <w:color w:val="1F3864"/>
          <w:sz w:val="30"/>
          <w:szCs w:val="30"/>
        </w:rPr>
      </w:pPr>
    </w:p>
    <w:p w14:paraId="3C25C664" w14:textId="77777777" w:rsidR="00DE0682" w:rsidRDefault="00DE0682">
      <w:pPr>
        <w:pStyle w:val="Heading1"/>
        <w:pBdr>
          <w:bottom w:val="single" w:sz="8" w:space="4" w:color="1F3864"/>
        </w:pBdr>
        <w:spacing w:before="320" w:after="160"/>
        <w:rPr>
          <w:b/>
          <w:bCs/>
          <w:color w:val="1F3864"/>
          <w:sz w:val="30"/>
          <w:szCs w:val="30"/>
        </w:rPr>
      </w:pPr>
    </w:p>
    <w:p w14:paraId="6E73E426" w14:textId="77777777" w:rsidR="00DE0682" w:rsidRDefault="00DE0682">
      <w:pPr>
        <w:pStyle w:val="Heading1"/>
        <w:pBdr>
          <w:bottom w:val="single" w:sz="8" w:space="4" w:color="1F3864"/>
        </w:pBdr>
        <w:spacing w:before="320" w:after="160"/>
        <w:rPr>
          <w:b/>
          <w:bCs/>
          <w:color w:val="1F3864"/>
          <w:sz w:val="30"/>
          <w:szCs w:val="30"/>
        </w:rPr>
      </w:pPr>
    </w:p>
    <w:p w14:paraId="1C1A0687" w14:textId="77777777" w:rsidR="00DE0682" w:rsidRDefault="00DE0682">
      <w:pPr>
        <w:pStyle w:val="Heading1"/>
        <w:pBdr>
          <w:bottom w:val="single" w:sz="8" w:space="4" w:color="1F3864"/>
        </w:pBdr>
        <w:spacing w:before="320" w:after="160"/>
        <w:rPr>
          <w:b/>
          <w:bCs/>
          <w:color w:val="1F3864"/>
          <w:sz w:val="30"/>
          <w:szCs w:val="30"/>
        </w:rPr>
      </w:pPr>
    </w:p>
    <w:p w14:paraId="1B9B1CBB" w14:textId="77777777" w:rsidR="00DE0682" w:rsidRDefault="00DE0682">
      <w:pPr>
        <w:pStyle w:val="Heading1"/>
        <w:pBdr>
          <w:bottom w:val="single" w:sz="8" w:space="4" w:color="1F3864"/>
        </w:pBdr>
        <w:spacing w:before="320" w:after="160"/>
        <w:rPr>
          <w:b/>
          <w:bCs/>
          <w:color w:val="1F3864"/>
          <w:sz w:val="30"/>
          <w:szCs w:val="30"/>
        </w:rPr>
      </w:pPr>
    </w:p>
    <w:p w14:paraId="1A9EAA20" w14:textId="77777777" w:rsidR="00DE0682" w:rsidRDefault="00DE0682">
      <w:pPr>
        <w:pStyle w:val="Heading1"/>
        <w:pBdr>
          <w:bottom w:val="single" w:sz="8" w:space="4" w:color="1F3864"/>
        </w:pBdr>
        <w:spacing w:before="320" w:after="160"/>
        <w:rPr>
          <w:b/>
          <w:bCs/>
          <w:color w:val="1F3864"/>
          <w:sz w:val="30"/>
          <w:szCs w:val="30"/>
        </w:rPr>
      </w:pPr>
    </w:p>
    <w:p w14:paraId="6DF5DF17" w14:textId="77777777" w:rsidR="00DE0682" w:rsidRDefault="00DE0682">
      <w:pPr>
        <w:pStyle w:val="Heading1"/>
        <w:pBdr>
          <w:bottom w:val="single" w:sz="8" w:space="4" w:color="1F3864"/>
        </w:pBdr>
        <w:spacing w:before="320" w:after="160"/>
        <w:rPr>
          <w:b/>
          <w:bCs/>
          <w:color w:val="1F3864"/>
          <w:sz w:val="30"/>
          <w:szCs w:val="30"/>
        </w:rPr>
      </w:pPr>
    </w:p>
    <w:p w14:paraId="7771CB43" w14:textId="53F15FD2" w:rsidR="001B4E2D" w:rsidRDefault="00000000">
      <w:pPr>
        <w:pStyle w:val="Heading1"/>
        <w:pBdr>
          <w:bottom w:val="single" w:sz="8" w:space="4" w:color="1F3864"/>
        </w:pBdr>
        <w:spacing w:before="320" w:after="160"/>
      </w:pPr>
      <w:r>
        <w:rPr>
          <w:b/>
          <w:bCs/>
          <w:color w:val="1F3864"/>
          <w:sz w:val="30"/>
          <w:szCs w:val="30"/>
        </w:rPr>
        <w:lastRenderedPageBreak/>
        <w:t>7. Proposed AWS Architecture</w:t>
      </w:r>
    </w:p>
    <w:p w14:paraId="638FAE0B" w14:textId="77777777" w:rsidR="001B4E2D" w:rsidRDefault="00000000">
      <w:pPr>
        <w:pStyle w:val="Heading2"/>
        <w:spacing w:before="260" w:after="120"/>
      </w:pPr>
      <w:r>
        <w:rPr>
          <w:b/>
          <w:bCs/>
          <w:color w:val="B45309"/>
          <w:sz w:val="25"/>
          <w:szCs w:val="25"/>
        </w:rPr>
        <w:t>7.1 Architecture Diagram</w:t>
      </w:r>
    </w:p>
    <w:p w14:paraId="1A14BAA2" w14:textId="77777777" w:rsidR="001B4E2D" w:rsidRDefault="00000000">
      <w:pPr>
        <w:spacing w:after="160" w:line="300" w:lineRule="auto"/>
        <w:jc w:val="both"/>
      </w:pPr>
      <w:r>
        <w:t>The diagram below shows the five functional layers of Cloud Intent Guardian and the cross-cutting security and governance controls that apply across all of them.</w:t>
      </w:r>
    </w:p>
    <w:p w14:paraId="28489C24" w14:textId="77777777" w:rsidR="001B4E2D" w:rsidRDefault="00000000">
      <w:pPr>
        <w:spacing w:after="120"/>
        <w:jc w:val="center"/>
      </w:pPr>
      <w:r>
        <w:rPr>
          <w:noProof/>
        </w:rPr>
        <w:drawing>
          <wp:inline distT="0" distB="0" distL="0" distR="0" wp14:anchorId="6E4CCD5A" wp14:editId="136EDE60">
            <wp:extent cx="5905500" cy="5286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5286375"/>
                    </a:xfrm>
                    <a:prstGeom prst="rect">
                      <a:avLst/>
                    </a:prstGeom>
                  </pic:spPr>
                </pic:pic>
              </a:graphicData>
            </a:graphic>
          </wp:inline>
        </w:drawing>
      </w:r>
    </w:p>
    <w:p w14:paraId="049AC8E7" w14:textId="77777777" w:rsidR="001B4E2D" w:rsidRDefault="00000000">
      <w:pPr>
        <w:pStyle w:val="Heading2"/>
        <w:spacing w:before="260" w:after="120"/>
      </w:pPr>
      <w:r>
        <w:rPr>
          <w:b/>
          <w:bCs/>
          <w:color w:val="B45309"/>
          <w:sz w:val="25"/>
          <w:szCs w:val="25"/>
        </w:rPr>
        <w:t>7.2 Data Flow</w:t>
      </w:r>
    </w:p>
    <w:p w14:paraId="411A05C2" w14:textId="77777777" w:rsidR="001B4E2D" w:rsidRDefault="00000000">
      <w:pPr>
        <w:spacing w:after="160" w:line="300" w:lineRule="auto"/>
        <w:jc w:val="both"/>
      </w:pPr>
      <w:r>
        <w:t>The end-to-end flow through the platform runs as follows:</w:t>
      </w:r>
    </w:p>
    <w:p w14:paraId="1E5BB407" w14:textId="77777777" w:rsidR="001B4E2D" w:rsidRDefault="00000000">
      <w:pPr>
        <w:pStyle w:val="ListParagraph"/>
        <w:numPr>
          <w:ilvl w:val="0"/>
          <w:numId w:val="4"/>
        </w:numPr>
        <w:spacing w:after="100" w:line="290" w:lineRule="auto"/>
      </w:pPr>
      <w:r>
        <w:t>A developer merges an Infrastructure-as-Code change together with its accompanying architecture decision record into the Git repository, which triggers the CI pipeline.</w:t>
      </w:r>
    </w:p>
    <w:p w14:paraId="3F162E22" w14:textId="77777777" w:rsidR="001B4E2D" w:rsidRDefault="00000000">
      <w:pPr>
        <w:pStyle w:val="ListParagraph"/>
        <w:numPr>
          <w:ilvl w:val="0"/>
          <w:numId w:val="4"/>
        </w:numPr>
        <w:spacing w:after="100" w:line="290" w:lineRule="auto"/>
      </w:pPr>
      <w:r>
        <w:t>The pipeline invokes the Intent Extractor Lambda function, which parses the IaC and the ADR text and calls Amazon Bedrock to convert the free-text design rationale into a structured representation of components, relationships, trust boundaries, and business-criticality tags. The result is written to the IntentGraph table in DynamoDB and the raw source documents are archived in a KMS-encrypted S3 bucket.</w:t>
      </w:r>
    </w:p>
    <w:p w14:paraId="50F4B407" w14:textId="77777777" w:rsidR="001B4E2D" w:rsidRDefault="00000000">
      <w:pPr>
        <w:pStyle w:val="ListParagraph"/>
        <w:numPr>
          <w:ilvl w:val="0"/>
          <w:numId w:val="4"/>
        </w:numPr>
        <w:spacing w:after="100" w:line="290" w:lineRule="auto"/>
      </w:pPr>
      <w:r>
        <w:t xml:space="preserve">Independently and continuously, AWS Config, CloudTrail, and VPC Flow Logs observe the live AWS environment. EventBridge rules react to Config compliance-change events and relevant CloudTrail </w:t>
      </w:r>
      <w:r>
        <w:lastRenderedPageBreak/>
        <w:t>events, invoking the State Ingestion Lambda function, which normalises this telemetry into the same graph schema as the IntentGraph and writes it to the AsIsGraph table in DynamoDB.</w:t>
      </w:r>
    </w:p>
    <w:p w14:paraId="56AB5D0A" w14:textId="77777777" w:rsidR="001B4E2D" w:rsidRDefault="00000000">
      <w:pPr>
        <w:pStyle w:val="ListParagraph"/>
        <w:numPr>
          <w:ilvl w:val="0"/>
          <w:numId w:val="4"/>
        </w:numPr>
        <w:spacing w:after="100" w:line="290" w:lineRule="auto"/>
      </w:pPr>
      <w:r>
        <w:t>Any write to either graph table triggers an EventBridge rule that starts the Step Functions Conformance Evaluator state machine.</w:t>
      </w:r>
    </w:p>
    <w:p w14:paraId="071D2313" w14:textId="77777777" w:rsidR="001B4E2D" w:rsidRDefault="00000000">
      <w:pPr>
        <w:pStyle w:val="ListParagraph"/>
        <w:numPr>
          <w:ilvl w:val="0"/>
          <w:numId w:val="4"/>
        </w:numPr>
        <w:spacing w:after="100" w:line="290" w:lineRule="auto"/>
      </w:pPr>
      <w:r>
        <w:t>The Graph Diff Lambda function runs first as a fast, deterministic pass, comparing nodes and edges between the two graphs. Clear-cut cases — an exact match, or an unambiguous violation of an explicit rule — are resolved here without incurring any language-model cost.</w:t>
      </w:r>
    </w:p>
    <w:p w14:paraId="03D74C99" w14:textId="77777777" w:rsidR="001B4E2D" w:rsidRDefault="00000000">
      <w:pPr>
        <w:pStyle w:val="ListParagraph"/>
        <w:numPr>
          <w:ilvl w:val="0"/>
          <w:numId w:val="4"/>
        </w:numPr>
        <w:spacing w:after="100" w:line="290" w:lineRule="auto"/>
      </w:pPr>
      <w:r>
        <w:t>Cases that involve a topology change with no directly matching rule, or that the deterministic pass flags as ambiguous, are escalated to the ECS Fargate–hosted multi-agent reasoning service behind an Application Load Balancer. Following the cross-validation pattern from the RIVA research discussed in Section 3, this service calls Amazon Bedrock and independently cross-checks the claim against AWS Config, CloudTrail, VPC Flow Logs, and existing Security Hub findings before concluding whether the change is a genuine intent violation, and if so, at what severity.</w:t>
      </w:r>
    </w:p>
    <w:p w14:paraId="75A24200" w14:textId="77777777" w:rsidR="001B4E2D" w:rsidRDefault="00000000">
      <w:pPr>
        <w:pStyle w:val="ListParagraph"/>
        <w:numPr>
          <w:ilvl w:val="0"/>
          <w:numId w:val="4"/>
        </w:numPr>
        <w:spacing w:after="100" w:line="290" w:lineRule="auto"/>
      </w:pPr>
      <w:r>
        <w:t>Findings are written to the Findings table in DynamoDB, forwarded to AWS Security Hub in ASFF format, and logged to the Amazon RDS audit-trail database. Amazon SNS notifies the relevant Slack channel, email list, or on-call rotation.</w:t>
      </w:r>
    </w:p>
    <w:p w14:paraId="6CCAF195" w14:textId="77777777" w:rsidR="001B4E2D" w:rsidRDefault="00000000">
      <w:pPr>
        <w:pStyle w:val="ListParagraph"/>
        <w:numPr>
          <w:ilvl w:val="0"/>
          <w:numId w:val="4"/>
        </w:numPr>
        <w:spacing w:after="100" w:line="290" w:lineRule="auto"/>
      </w:pPr>
      <w:r>
        <w:t>For findings marked low-risk and high-confidence, Step Functions proceeds directly to an SSM Automation runbook that performs the approved remediation (for example, revoking an unapproved ingress rule) and logs the action. For findings marked high blast-radius or low-confidence, the state machine instead pauses at a wait-for-callback task and only proceeds once a human approver responds through a signed link delivered by SNS.</w:t>
      </w:r>
    </w:p>
    <w:p w14:paraId="40A2DD6F" w14:textId="77777777" w:rsidR="001B4E2D" w:rsidRDefault="00000000">
      <w:pPr>
        <w:pStyle w:val="ListParagraph"/>
        <w:numPr>
          <w:ilvl w:val="0"/>
          <w:numId w:val="4"/>
        </w:numPr>
        <w:spacing w:after="100" w:line="290" w:lineRule="auto"/>
      </w:pPr>
      <w:r>
        <w:t>The dashboard — a React single-page application served from S3 through CloudFront and protected by AWS WAF, authenticated through Amazon Cognito — calls an API Gateway and Lambda backend to read from the Findings table, both graph tables, and the RDS audit trail, giving stakeholders a live compliance view without ever touching AWS Config or CloudTrail directly.</w:t>
      </w:r>
    </w:p>
    <w:p w14:paraId="4315D25A" w14:textId="77777777" w:rsidR="001B4E2D" w:rsidRDefault="00000000">
      <w:pPr>
        <w:pStyle w:val="Heading2"/>
        <w:spacing w:before="260" w:after="120"/>
      </w:pPr>
      <w:r>
        <w:rPr>
          <w:b/>
          <w:bCs/>
          <w:color w:val="B45309"/>
          <w:sz w:val="25"/>
          <w:szCs w:val="25"/>
        </w:rPr>
        <w:t>7.3 Component Description</w:t>
      </w:r>
    </w:p>
    <w:p w14:paraId="3733972B" w14:textId="77777777" w:rsidR="001B4E2D" w:rsidRDefault="00000000">
      <w:pPr>
        <w:spacing w:after="160" w:line="300" w:lineRule="auto"/>
        <w:jc w:val="both"/>
      </w:pPr>
      <w:r>
        <w:t>The platform is organised into five layers plus one cross-cutting concern, each with a distinct responsibility:</w:t>
      </w:r>
    </w:p>
    <w:p w14:paraId="513B299B" w14:textId="77777777" w:rsidR="001B4E2D" w:rsidRDefault="00000000">
      <w:pPr>
        <w:pStyle w:val="ListParagraph"/>
        <w:numPr>
          <w:ilvl w:val="0"/>
          <w:numId w:val="2"/>
        </w:numPr>
        <w:spacing w:after="100" w:line="290" w:lineRule="auto"/>
      </w:pPr>
      <w:r>
        <w:rPr>
          <w:b/>
          <w:bCs/>
        </w:rPr>
        <w:t xml:space="preserve">Intent Capture Layer — </w:t>
      </w:r>
      <w:r>
        <w:t>turns human-authored design intent (IaC plus ADRs) into a structured, versioned artifact that can be compared programmatically rather than only read by people.</w:t>
      </w:r>
    </w:p>
    <w:p w14:paraId="65B8091B" w14:textId="77777777" w:rsidR="001B4E2D" w:rsidRDefault="00000000">
      <w:pPr>
        <w:pStyle w:val="ListParagraph"/>
        <w:numPr>
          <w:ilvl w:val="0"/>
          <w:numId w:val="2"/>
        </w:numPr>
        <w:spacing w:after="100" w:line="290" w:lineRule="auto"/>
      </w:pPr>
      <w:r>
        <w:rPr>
          <w:b/>
          <w:bCs/>
        </w:rPr>
        <w:t xml:space="preserve">Observation Layer — </w:t>
      </w:r>
      <w:r>
        <w:t>continuously watches the live AWS environment and normalises three different native data sources (Config, CloudTrail, Flow Logs) into one consistent graph representation.</w:t>
      </w:r>
    </w:p>
    <w:p w14:paraId="60423CEE" w14:textId="77777777" w:rsidR="001B4E2D" w:rsidRDefault="00000000">
      <w:pPr>
        <w:pStyle w:val="ListParagraph"/>
        <w:numPr>
          <w:ilvl w:val="0"/>
          <w:numId w:val="2"/>
        </w:numPr>
        <w:spacing w:after="100" w:line="290" w:lineRule="auto"/>
      </w:pPr>
      <w:r>
        <w:rPr>
          <w:b/>
          <w:bCs/>
        </w:rPr>
        <w:t xml:space="preserve">Intent Conformance Engine — </w:t>
      </w:r>
      <w:r>
        <w:t>the analytical core of the platform, running a cheap deterministic comparison first and escalating only genuinely ambiguous cases to a more expensive, cross-validated reasoning service, which keeps both cost and false-positive rate under control.</w:t>
      </w:r>
    </w:p>
    <w:p w14:paraId="6828546B" w14:textId="77777777" w:rsidR="001B4E2D" w:rsidRDefault="00000000">
      <w:pPr>
        <w:pStyle w:val="ListParagraph"/>
        <w:numPr>
          <w:ilvl w:val="0"/>
          <w:numId w:val="2"/>
        </w:numPr>
        <w:spacing w:after="100" w:line="290" w:lineRule="auto"/>
      </w:pPr>
      <w:r>
        <w:rPr>
          <w:b/>
          <w:bCs/>
        </w:rPr>
        <w:t xml:space="preserve">Response and Remediation Layer — </w:t>
      </w:r>
      <w:r>
        <w:t>turns a finding into either an automatic, audited fix or a human decision point, depending on confidence and blast radius, and keeps a durable record either way.</w:t>
      </w:r>
    </w:p>
    <w:p w14:paraId="6E3B8487" w14:textId="77777777" w:rsidR="001B4E2D" w:rsidRDefault="00000000">
      <w:pPr>
        <w:pStyle w:val="ListParagraph"/>
        <w:numPr>
          <w:ilvl w:val="0"/>
          <w:numId w:val="2"/>
        </w:numPr>
        <w:spacing w:after="100" w:line="290" w:lineRule="auto"/>
      </w:pPr>
      <w:r>
        <w:rPr>
          <w:b/>
          <w:bCs/>
        </w:rPr>
        <w:t xml:space="preserve">Presentation Layer — </w:t>
      </w:r>
      <w:r>
        <w:t>the only part of the system most stakeholders ever see directly: a secured, low-latency dashboard over the data the other four layers produce.</w:t>
      </w:r>
    </w:p>
    <w:p w14:paraId="7C583250" w14:textId="77777777" w:rsidR="001B4E2D" w:rsidRDefault="00000000">
      <w:pPr>
        <w:pStyle w:val="ListParagraph"/>
        <w:numPr>
          <w:ilvl w:val="0"/>
          <w:numId w:val="2"/>
        </w:numPr>
        <w:spacing w:after="100" w:line="290" w:lineRule="auto"/>
      </w:pPr>
      <w:r>
        <w:rPr>
          <w:b/>
          <w:bCs/>
        </w:rPr>
        <w:lastRenderedPageBreak/>
        <w:t xml:space="preserve">Cross-cutting Security, Governance and Observability — </w:t>
      </w:r>
      <w:r>
        <w:t>least-privilege IAM, encryption at rest, private networking, centralised logging and tracing, and multi-account support apply uniformly across every layer rather than being bolted onto one component.</w:t>
      </w:r>
    </w:p>
    <w:p w14:paraId="5E8F3041" w14:textId="0C7C7377" w:rsidR="001B4E2D" w:rsidRDefault="001B4E2D"/>
    <w:p w14:paraId="363B1DEF" w14:textId="77777777" w:rsidR="001B4E2D" w:rsidRDefault="00000000">
      <w:pPr>
        <w:pStyle w:val="Heading1"/>
        <w:pBdr>
          <w:bottom w:val="single" w:sz="8" w:space="4" w:color="1F3864"/>
        </w:pBdr>
        <w:spacing w:before="320" w:after="160"/>
      </w:pPr>
      <w:r>
        <w:rPr>
          <w:b/>
          <w:bCs/>
          <w:color w:val="1F3864"/>
          <w:sz w:val="30"/>
          <w:szCs w:val="30"/>
        </w:rPr>
        <w:t>8. Security and Cost Considerations</w:t>
      </w:r>
    </w:p>
    <w:p w14:paraId="14F81805" w14:textId="77777777" w:rsidR="001B4E2D" w:rsidRDefault="00000000">
      <w:pPr>
        <w:pStyle w:val="Heading2"/>
        <w:spacing w:before="260" w:after="120"/>
      </w:pPr>
      <w:r>
        <w:rPr>
          <w:b/>
          <w:bCs/>
          <w:color w:val="B45309"/>
          <w:sz w:val="25"/>
          <w:szCs w:val="25"/>
        </w:rPr>
        <w:t>8.1 Security</w:t>
      </w:r>
    </w:p>
    <w:p w14:paraId="0CBE2228" w14:textId="77777777" w:rsidR="001B4E2D" w:rsidRDefault="00000000">
      <w:pPr>
        <w:spacing w:after="160" w:line="300" w:lineRule="auto"/>
        <w:jc w:val="both"/>
      </w:pPr>
      <w:r>
        <w:t>Every execution role in the platform follows least privilege with an explicit permission boundary, so that a compromised Lambda function or Fargate task cannot be used to escalate privilege beyond the single action it was built to perform — a discipline that matters more here than in a typical application, since this platform's own job is enforcing that same discipline on everything else. All data at rest in S3, DynamoDB, and RDS is encrypted with customer-managed AWS KMS keys, and all data-plane traffic between the platform's own compute and AWS service APIs (Config, DynamoDB, Bedrock) travels over VPC interface endpoints rather than the public internet. The public-facing surface — the dashboard's CloudFront distribution and API Gateway — sits behind AWS WAF and Cognito authentication.</w:t>
      </w:r>
    </w:p>
    <w:p w14:paraId="7530FDB1" w14:textId="77777777" w:rsidR="001B4E2D" w:rsidRDefault="00000000">
      <w:pPr>
        <w:spacing w:after="160" w:line="300" w:lineRule="auto"/>
        <w:jc w:val="both"/>
      </w:pPr>
      <w:r>
        <w:t>One security consideration specific to this platform's own design is worth stating explicitly, drawing directly on the RIVA findings discussed in Section 3: a large-language-model reasoning layer that trusts its own tool outputs unconditionally can be misled by incomplete or manipulated telemetry into clearing a genuine violation or flagging a false one. For that reason, the escalation path in the Intent Conformance Engine cross-checks any Bedrock-generated judgement against at least two independent AWS data sources before it is allowed to drive an automatic remediation action, and any case where those sources disagree is routed to a human by design rather than resolved by the model alone.</w:t>
      </w:r>
    </w:p>
    <w:p w14:paraId="73817319" w14:textId="77777777" w:rsidR="001B4E2D" w:rsidRDefault="00000000">
      <w:pPr>
        <w:pStyle w:val="Heading2"/>
        <w:spacing w:before="260" w:after="120"/>
      </w:pPr>
      <w:r>
        <w:rPr>
          <w:b/>
          <w:bCs/>
          <w:color w:val="B45309"/>
          <w:sz w:val="25"/>
          <w:szCs w:val="25"/>
        </w:rPr>
        <w:t>8.2 Scalability</w:t>
      </w:r>
    </w:p>
    <w:p w14:paraId="48297367" w14:textId="77777777" w:rsidR="001B4E2D" w:rsidRDefault="00000000">
      <w:pPr>
        <w:spacing w:after="160" w:line="300" w:lineRule="auto"/>
        <w:jc w:val="both"/>
      </w:pPr>
      <w:r>
        <w:t>Because the core compute layer is Lambda and Fargate rather than a fixed EC2 fleet, and DynamoDB tables run in on-demand capacity mode, the platform scales horizontally with the volume of Config and CloudTrail events it receives, with no capacity planning required. Multi-account estates are supported natively through an AWS Organizations Config aggregator feeding into the same pipeline, so the design scales from a single student AWS account to a multi-account production landing zone without an architectural rewrite.</w:t>
      </w:r>
    </w:p>
    <w:p w14:paraId="793D10DA" w14:textId="77777777" w:rsidR="001B4E2D" w:rsidRDefault="00000000">
      <w:pPr>
        <w:pStyle w:val="Heading2"/>
        <w:spacing w:before="260" w:after="120"/>
      </w:pPr>
      <w:r>
        <w:rPr>
          <w:b/>
          <w:bCs/>
          <w:color w:val="B45309"/>
          <w:sz w:val="25"/>
          <w:szCs w:val="25"/>
        </w:rPr>
        <w:t>8.3 High Availability</w:t>
      </w:r>
    </w:p>
    <w:p w14:paraId="36BC849D" w14:textId="77777777" w:rsidR="001B4E2D" w:rsidRDefault="00000000">
      <w:pPr>
        <w:spacing w:after="160" w:line="300" w:lineRule="auto"/>
        <w:jc w:val="both"/>
      </w:pPr>
      <w:r>
        <w:t>DynamoDB and RDS both run in multi-AZ configurations; S3 provides eleven nines of durability for the intent archive and static dashboard assets; the Application Load Balancer in front of the Fargate reasoning service spans multiple availability zones; and Step Functions' built-in retry and error-handling states, together with EventBridge dead-letter queues, ensure a transient failure in any one component causes a delayed evaluation rather than a silently dropped one.</w:t>
      </w:r>
    </w:p>
    <w:p w14:paraId="793859F7" w14:textId="77777777" w:rsidR="001B4E2D" w:rsidRDefault="00000000">
      <w:pPr>
        <w:pStyle w:val="Heading2"/>
        <w:spacing w:before="260" w:after="120"/>
      </w:pPr>
      <w:r>
        <w:rPr>
          <w:b/>
          <w:bCs/>
          <w:color w:val="B45309"/>
          <w:sz w:val="25"/>
          <w:szCs w:val="25"/>
        </w:rPr>
        <w:t>8.4 Cost Optimisation</w:t>
      </w:r>
    </w:p>
    <w:p w14:paraId="01E05E42" w14:textId="3BEBC202" w:rsidR="001B4E2D" w:rsidRDefault="00000000">
      <w:pPr>
        <w:spacing w:after="160" w:line="300" w:lineRule="auto"/>
        <w:jc w:val="both"/>
      </w:pPr>
      <w:r>
        <w:t xml:space="preserve">The overwhelming majority of the stack — Lambda, DynamoDB on-demand, Step Functions, EventBridge, S3, SNS — is billed purely on usage, giving the platform close to zero idle cost, which matters both for a student prototype built on AWS Free Tier credits and for a small engineering team evaluating it for the first time. The </w:t>
      </w:r>
      <w:r>
        <w:lastRenderedPageBreak/>
        <w:t xml:space="preserve">more expensive Fargate-hosted reasoning service is invoked only for the minority of cases the deterministic Graph Diff pass cannot resolve on its own, which keeps Bedrock and compute spend proportional to genuine ambiguity rather than to total event volume. The Amazon RDS audit-trail database is sized as a single small instance (or, for a fully serverless option, Aurora Serverless v2, which scales to zero) since it only needs to serve as a low-throughput system of record rather than a high-traffic store. S3 lifecycle rules transition older Config snapshots and archived intent documents to cheaper storage tiers automatically, and AWS Budgets alarms give an early warning if any </w:t>
      </w:r>
      <w:r w:rsidR="00DE0682">
        <w:t>components</w:t>
      </w:r>
      <w:r>
        <w:t xml:space="preserve"> spend deviates from expectations.</w:t>
      </w:r>
    </w:p>
    <w:p w14:paraId="10519365" w14:textId="77777777" w:rsidR="00DE0682" w:rsidRDefault="00DE0682">
      <w:pPr>
        <w:spacing w:after="160" w:line="300" w:lineRule="auto"/>
        <w:jc w:val="both"/>
      </w:pPr>
    </w:p>
    <w:p w14:paraId="178CB177" w14:textId="77777777" w:rsidR="001B4E2D" w:rsidRDefault="00000000">
      <w:pPr>
        <w:pStyle w:val="Heading1"/>
        <w:pBdr>
          <w:bottom w:val="single" w:sz="8" w:space="4" w:color="1F3864"/>
        </w:pBdr>
        <w:spacing w:before="320" w:after="160"/>
      </w:pPr>
      <w:r>
        <w:rPr>
          <w:b/>
          <w:bCs/>
          <w:color w:val="1F3864"/>
          <w:sz w:val="30"/>
          <w:szCs w:val="30"/>
        </w:rPr>
        <w:t>9. Innovation Statement</w:t>
      </w:r>
    </w:p>
    <w:p w14:paraId="0B80F183" w14:textId="77777777" w:rsidR="001B4E2D" w:rsidRDefault="00000000">
      <w:pPr>
        <w:pStyle w:val="Heading2"/>
        <w:spacing w:before="260" w:after="120"/>
      </w:pPr>
      <w:r>
        <w:rPr>
          <w:b/>
          <w:bCs/>
          <w:color w:val="B45309"/>
          <w:sz w:val="25"/>
          <w:szCs w:val="25"/>
        </w:rPr>
        <w:t>9.1 What Is New</w:t>
      </w:r>
    </w:p>
    <w:p w14:paraId="6CBDD972" w14:textId="77777777" w:rsidR="001B4E2D" w:rsidRDefault="00000000">
      <w:pPr>
        <w:spacing w:after="160" w:line="300" w:lineRule="auto"/>
        <w:jc w:val="both"/>
      </w:pPr>
      <w:r>
        <w:t>The central contribution is the Intent Graph itself: a first-class, versioned artifact that fuses structured IaC declarations with semantically extracted design rationale from architecture decision records into a single representation that can be diffed programmatically against the live environment. Layered on top of that is a two-tier evaluation strategy — a cheap, deterministic graph comparison for the majority of cases, escalating only genuinely ambiguous or topology-level changes to a cross-validated, multi-agent LLM reasoning service — which is a different design point from both pure rule engines (fast but blind to anything unanticipated) and pure LLM-driven analysis (flexible but, as the RIVA research shows, vulnerable to trusting unreliable tool outputs if used without cross-validation).</w:t>
      </w:r>
    </w:p>
    <w:p w14:paraId="4A4BE6B8" w14:textId="77777777" w:rsidR="001B4E2D" w:rsidRDefault="00000000">
      <w:pPr>
        <w:pStyle w:val="Heading2"/>
        <w:spacing w:before="260" w:after="120"/>
      </w:pPr>
      <w:r>
        <w:rPr>
          <w:b/>
          <w:bCs/>
          <w:color w:val="B45309"/>
          <w:sz w:val="25"/>
          <w:szCs w:val="25"/>
        </w:rPr>
        <w:t>9.2 Why It Is Better Than Existing Systems</w:t>
      </w:r>
    </w:p>
    <w:p w14:paraId="5CDF07DE" w14:textId="77777777" w:rsidR="001B4E2D" w:rsidRDefault="00000000">
      <w:pPr>
        <w:spacing w:after="160" w:line="300" w:lineRule="auto"/>
        <w:jc w:val="both"/>
      </w:pPr>
      <w:r>
        <w:t>Rule-based tools such as Cloud Custodian and AWS Config Rules can only catch a violation that someone already thought to encode as a rule; they have no way to notice a new relationship between two resources that nobody wrote a policy about. Existing LLM-assisted approaches, including AWS's own published Bedrock-and-Control-Tower pattern, explain a detected drift event after the fact but do not compare the live topology against an explicit, structured model of what the architecture was supposed to be — so they are good at answering "what changed and why does it look risky" but not at answering "does this still match the design." By maintaining an explicit Intent Graph and comparing it continuously against a live As-Is Graph, Cloud Intent Guardian can catch architecture erosion — new cross-trust-boundary paths, bypassed intermediary services, quietly widened blast radii — that neither a per-resource state diff nor an unguided LLM conversation reliably catches, while the RIVA-inspired cross-validation step keeps the false-positive and false-negative rate of the LLM layer in check rather than trusting a single model call.</w:t>
      </w:r>
    </w:p>
    <w:p w14:paraId="733DC67B" w14:textId="77777777" w:rsidR="001B4E2D" w:rsidRDefault="00000000">
      <w:pPr>
        <w:pStyle w:val="Heading2"/>
        <w:spacing w:before="260" w:after="120"/>
      </w:pPr>
      <w:r>
        <w:rPr>
          <w:b/>
          <w:bCs/>
          <w:color w:val="B45309"/>
          <w:sz w:val="25"/>
          <w:szCs w:val="25"/>
        </w:rPr>
        <w:t>9.3 Patent, Journal, or Startup Potential</w:t>
      </w:r>
    </w:p>
    <w:p w14:paraId="23F46009" w14:textId="77777777" w:rsidR="001B4E2D" w:rsidRDefault="00000000">
      <w:pPr>
        <w:spacing w:after="160" w:line="300" w:lineRule="auto"/>
        <w:jc w:val="both"/>
      </w:pPr>
      <w:r>
        <w:t xml:space="preserve">The specific combination of an extracted, versioned architectural-intent graph with a confidence-gated, two-tier conformance-evaluation pipeline is a plausible candidate for a provisional patent claim, since it is a concrete, novel method rather than an obvious application of an existing technique. It is equally well suited to a short conference paper aimed at a software-architecture or cloud-security venue, building directly on the architecture-conformance line of work represented by Uzun and Tekinerdogan (2024) but applied to infrastructure topology instead of source code. Commercially, it addresses a real, currently underserved segment: mid-market engineering teams who cannot justify the cost of full cloud security posture </w:t>
      </w:r>
      <w:r>
        <w:lastRenderedPageBreak/>
        <w:t>management suites such as Wiz or Prisma Cloud but still need continuous assurance that their AWS estate matches its intended design — a plausible, narrowly scoped starting point for a bootstrapped SaaS product rather than a purely academic exercise.</w:t>
      </w:r>
    </w:p>
    <w:p w14:paraId="7114FCC7" w14:textId="77777777" w:rsidR="001B4E2D" w:rsidRDefault="00000000">
      <w:r>
        <w:br w:type="page"/>
      </w:r>
    </w:p>
    <w:p w14:paraId="4D325162" w14:textId="77777777" w:rsidR="001B4E2D" w:rsidRDefault="00000000">
      <w:pPr>
        <w:pStyle w:val="Heading1"/>
        <w:pBdr>
          <w:bottom w:val="single" w:sz="8" w:space="4" w:color="1F3864"/>
        </w:pBdr>
        <w:spacing w:before="320" w:after="160"/>
      </w:pPr>
      <w:r>
        <w:rPr>
          <w:b/>
          <w:bCs/>
          <w:color w:val="1F3864"/>
          <w:sz w:val="30"/>
          <w:szCs w:val="30"/>
        </w:rPr>
        <w:lastRenderedPageBreak/>
        <w:t>References</w:t>
      </w:r>
    </w:p>
    <w:p w14:paraId="1E68F671" w14:textId="77777777" w:rsidR="001B4E2D" w:rsidRDefault="00000000">
      <w:pPr>
        <w:spacing w:after="140" w:line="280" w:lineRule="auto"/>
        <w:ind w:left="450" w:hanging="450"/>
      </w:pPr>
      <w:r>
        <w:rPr>
          <w:sz w:val="20"/>
          <w:szCs w:val="20"/>
        </w:rPr>
        <w:t>[1] G. Thiyagarajan, V. Bist, and P. Nayak, "AI-Driven Configuration Drift Detection in Cloud Environments," International Journal of Communication Networks and Information Security (IJCNIS), vol. 16, no. 5, pp. 721–743, 2024.</w:t>
      </w:r>
    </w:p>
    <w:p w14:paraId="3BC31EB9" w14:textId="77777777" w:rsidR="001B4E2D" w:rsidRDefault="00000000">
      <w:pPr>
        <w:spacing w:after="140" w:line="280" w:lineRule="auto"/>
        <w:ind w:left="450" w:hanging="450"/>
      </w:pPr>
      <w:r>
        <w:rPr>
          <w:sz w:val="20"/>
          <w:szCs w:val="20"/>
        </w:rPr>
        <w:t>[2] T. Mehmood, S. Latif, R. Latif, H. Majeed, and A. W. Malik, "DRIFTNET-EnVACK: Adaptive Drift Detection in Cloud Data Streams With Ensemble Variational Auto-Encoder Featuring Contextual Network," IEEE Access, vol. 12, pp. 80020–80034, 2024, doi: 10.1109/ACCESS.2024.3409433.</w:t>
      </w:r>
    </w:p>
    <w:p w14:paraId="477E7899" w14:textId="77777777" w:rsidR="001B4E2D" w:rsidRDefault="00000000">
      <w:pPr>
        <w:spacing w:after="140" w:line="280" w:lineRule="auto"/>
        <w:ind w:left="450" w:hanging="450"/>
      </w:pPr>
      <w:r>
        <w:rPr>
          <w:sz w:val="20"/>
          <w:szCs w:val="20"/>
        </w:rPr>
        <w:t>[3] S. Abuzakuk, L. Crijns, A.-M. Kermarrec, R. Pires, and M. de Vos, "RIVA: Leveraging LLM Agents for Reliable Configuration Drift Detection," arXiv preprint arXiv:2603.02345, 2026.</w:t>
      </w:r>
    </w:p>
    <w:p w14:paraId="59E553CE" w14:textId="77777777" w:rsidR="001B4E2D" w:rsidRDefault="00000000">
      <w:pPr>
        <w:spacing w:after="140" w:line="280" w:lineRule="auto"/>
        <w:ind w:left="450" w:hanging="450"/>
      </w:pPr>
      <w:r>
        <w:rPr>
          <w:sz w:val="20"/>
          <w:szCs w:val="20"/>
        </w:rPr>
        <w:t>[4] B. Uzun and B. Tekinerdogan, "Detecting deviations in the code using architecture view-based drift analysis," Computer Standards &amp; Interfaces, vol. 87, art. 103774, 2024.</w:t>
      </w:r>
    </w:p>
    <w:p w14:paraId="4DCCF7F4" w14:textId="77777777" w:rsidR="001B4E2D" w:rsidRDefault="00000000">
      <w:pPr>
        <w:spacing w:after="140" w:line="280" w:lineRule="auto"/>
        <w:ind w:left="450" w:hanging="450"/>
      </w:pPr>
      <w:r>
        <w:rPr>
          <w:sz w:val="20"/>
          <w:szCs w:val="20"/>
        </w:rPr>
        <w:t>[5] N. Siddiqui, "Eliminating Configuration Drift at Scale Using Declarative Infrastructure Automation," International Journal of Emerging Trends in Computer Science and Information Technology, vol. 7, no. 2, 2025, doi: 10.63282/3050-9246.IJETCSIT-V7I2P128.</w:t>
      </w:r>
    </w:p>
    <w:p w14:paraId="4B51179E" w14:textId="77777777" w:rsidR="001B4E2D" w:rsidRDefault="00000000">
      <w:pPr>
        <w:spacing w:after="140" w:line="280" w:lineRule="auto"/>
        <w:ind w:left="450" w:hanging="450"/>
      </w:pPr>
      <w:r>
        <w:rPr>
          <w:sz w:val="20"/>
          <w:szCs w:val="20"/>
        </w:rPr>
        <w:t>[6] Amazon Web Services, "AWS Well-Architected Framework," AWS Whitepaper, Amazon Web Services, 2024. [Online]. Available: https://d1.awsstatic.com/whitepapers/architecture/AWS_Well-Architected_Framework.pdf</w:t>
      </w:r>
    </w:p>
    <w:p w14:paraId="0103E949" w14:textId="77777777" w:rsidR="001B4E2D" w:rsidRDefault="00000000">
      <w:pPr>
        <w:spacing w:after="140" w:line="280" w:lineRule="auto"/>
        <w:ind w:left="450" w:hanging="450"/>
      </w:pPr>
      <w:r>
        <w:rPr>
          <w:sz w:val="20"/>
          <w:szCs w:val="20"/>
        </w:rPr>
        <w:t>[7] Amazon Web Services, "What Is AWS Config?" AWS Config Developer Guide, Amazon Web Services Documentation, 2026. [Online]. Available: https://docs.aws.amazon.com/config/</w:t>
      </w:r>
    </w:p>
    <w:p w14:paraId="0E1943AE" w14:textId="77777777" w:rsidR="001B4E2D" w:rsidRDefault="00000000">
      <w:pPr>
        <w:spacing w:after="140" w:line="280" w:lineRule="auto"/>
        <w:ind w:left="450" w:hanging="450"/>
      </w:pPr>
      <w:r>
        <w:rPr>
          <w:sz w:val="20"/>
          <w:szCs w:val="20"/>
        </w:rPr>
        <w:t>[8] Amazon Web Services, "Analyzing AWS Control Tower Drift with Amazon Bedrock," AWS Cloud Operations &amp; Migrations Blog, Amazon Web Services, 2025. [Online]. Available: https://aws.amazon.com/blogs/mt/analyzing-aws-control-tower-drift-with-amazon-bedrock</w:t>
      </w:r>
    </w:p>
    <w:p w14:paraId="7A46197D" w14:textId="77777777" w:rsidR="001B4E2D" w:rsidRDefault="00000000">
      <w:pPr>
        <w:spacing w:after="140" w:line="280" w:lineRule="auto"/>
        <w:ind w:left="450" w:hanging="450"/>
      </w:pPr>
      <w:r>
        <w:rPr>
          <w:sz w:val="20"/>
          <w:szCs w:val="20"/>
        </w:rPr>
        <w:t>[9] Cloud Custodian Project / Stacklet, "Cloud Custodian: Cloud Governance as Code," Cloud Native Computing Foundation Sandbox Project, originally developed by K. Thangavelu at Capital One, 2016. [Online]. Available: https://cloudcustodian.io</w:t>
      </w:r>
    </w:p>
    <w:sectPr w:rsidR="001B4E2D" w:rsidSect="00DE0682">
      <w:headerReference w:type="default" r:id="rId9"/>
      <w:footerReference w:type="default" r:id="rId10"/>
      <w:pgSz w:w="11906" w:h="16838"/>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7295A" w14:textId="77777777" w:rsidR="008317F5" w:rsidRDefault="008317F5">
      <w:r>
        <w:separator/>
      </w:r>
    </w:p>
  </w:endnote>
  <w:endnote w:type="continuationSeparator" w:id="0">
    <w:p w14:paraId="0C712BD3" w14:textId="77777777" w:rsidR="008317F5" w:rsidRDefault="00831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A9462" w14:textId="77777777" w:rsidR="001B4E2D" w:rsidRDefault="00000000">
    <w:pPr>
      <w:jc w:val="center"/>
    </w:pPr>
    <w:r>
      <w:rPr>
        <w:color w:val="5A6B7B"/>
        <w:sz w:val="18"/>
        <w:szCs w:val="18"/>
      </w:rPr>
      <w:t xml:space="preserve">Page </w:t>
    </w:r>
    <w:r>
      <w:rPr>
        <w:color w:val="5A6B7B"/>
        <w:sz w:val="18"/>
        <w:szCs w:val="18"/>
      </w:rPr>
      <w:fldChar w:fldCharType="begin"/>
    </w:r>
    <w:r>
      <w:rPr>
        <w:color w:val="5A6B7B"/>
        <w:sz w:val="18"/>
        <w:szCs w:val="18"/>
      </w:rPr>
      <w:instrText>PAGE</w:instrText>
    </w:r>
    <w:r>
      <w:rPr>
        <w:color w:val="5A6B7B"/>
        <w:sz w:val="18"/>
        <w:szCs w:val="18"/>
      </w:rPr>
      <w:fldChar w:fldCharType="separate"/>
    </w:r>
    <w:r w:rsidR="00DE0682">
      <w:rPr>
        <w:noProof/>
        <w:color w:val="5A6B7B"/>
        <w:sz w:val="18"/>
        <w:szCs w:val="18"/>
      </w:rPr>
      <w:t>2</w:t>
    </w:r>
    <w:r>
      <w:rPr>
        <w:color w:val="5A6B7B"/>
        <w:sz w:val="18"/>
        <w:szCs w:val="18"/>
      </w:rPr>
      <w:fldChar w:fldCharType="end"/>
    </w:r>
    <w:r>
      <w:rPr>
        <w:color w:val="5A6B7B"/>
        <w:sz w:val="18"/>
        <w:szCs w:val="18"/>
      </w:rPr>
      <w:t xml:space="preserve"> of </w:t>
    </w:r>
    <w:r>
      <w:rPr>
        <w:color w:val="5A6B7B"/>
        <w:sz w:val="18"/>
        <w:szCs w:val="18"/>
      </w:rPr>
      <w:fldChar w:fldCharType="begin"/>
    </w:r>
    <w:r>
      <w:rPr>
        <w:color w:val="5A6B7B"/>
        <w:sz w:val="18"/>
        <w:szCs w:val="18"/>
      </w:rPr>
      <w:instrText>NUMPAGES</w:instrText>
    </w:r>
    <w:r>
      <w:rPr>
        <w:color w:val="5A6B7B"/>
        <w:sz w:val="18"/>
        <w:szCs w:val="18"/>
      </w:rPr>
      <w:fldChar w:fldCharType="separate"/>
    </w:r>
    <w:r w:rsidR="00DE0682">
      <w:rPr>
        <w:noProof/>
        <w:color w:val="5A6B7B"/>
        <w:sz w:val="18"/>
        <w:szCs w:val="18"/>
      </w:rPr>
      <w:t>3</w:t>
    </w:r>
    <w:r>
      <w:rPr>
        <w:color w:val="5A6B7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941EA" w14:textId="77777777" w:rsidR="008317F5" w:rsidRDefault="008317F5">
      <w:r>
        <w:separator/>
      </w:r>
    </w:p>
  </w:footnote>
  <w:footnote w:type="continuationSeparator" w:id="0">
    <w:p w14:paraId="6CD84CC1" w14:textId="77777777" w:rsidR="008317F5" w:rsidRDefault="008317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018B9" w14:textId="77777777" w:rsidR="001B4E2D" w:rsidRDefault="00000000">
    <w:pPr>
      <w:jc w:val="right"/>
    </w:pPr>
    <w:r>
      <w:rPr>
        <w:i/>
        <w:iCs/>
        <w:color w:val="5A6B7B"/>
        <w:sz w:val="16"/>
        <w:szCs w:val="16"/>
      </w:rPr>
      <w:t>Cloud Intent Guardian — Case Study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D762CF"/>
    <w:multiLevelType w:val="hybridMultilevel"/>
    <w:tmpl w:val="A70E70AA"/>
    <w:lvl w:ilvl="0" w:tplc="8F4A9298">
      <w:start w:val="1"/>
      <w:numFmt w:val="bullet"/>
      <w:lvlText w:val="●"/>
      <w:lvlJc w:val="left"/>
      <w:pPr>
        <w:ind w:left="720" w:hanging="360"/>
      </w:pPr>
    </w:lvl>
    <w:lvl w:ilvl="1" w:tplc="5C9E9DB6">
      <w:start w:val="1"/>
      <w:numFmt w:val="bullet"/>
      <w:lvlText w:val="○"/>
      <w:lvlJc w:val="left"/>
      <w:pPr>
        <w:ind w:left="1440" w:hanging="360"/>
      </w:pPr>
    </w:lvl>
    <w:lvl w:ilvl="2" w:tplc="D6A64E86">
      <w:start w:val="1"/>
      <w:numFmt w:val="bullet"/>
      <w:lvlText w:val="■"/>
      <w:lvlJc w:val="left"/>
      <w:pPr>
        <w:ind w:left="2160" w:hanging="360"/>
      </w:pPr>
    </w:lvl>
    <w:lvl w:ilvl="3" w:tplc="FC30421A">
      <w:start w:val="1"/>
      <w:numFmt w:val="bullet"/>
      <w:lvlText w:val="●"/>
      <w:lvlJc w:val="left"/>
      <w:pPr>
        <w:ind w:left="2880" w:hanging="360"/>
      </w:pPr>
    </w:lvl>
    <w:lvl w:ilvl="4" w:tplc="4B4612D2">
      <w:start w:val="1"/>
      <w:numFmt w:val="bullet"/>
      <w:lvlText w:val="○"/>
      <w:lvlJc w:val="left"/>
      <w:pPr>
        <w:ind w:left="3600" w:hanging="360"/>
      </w:pPr>
    </w:lvl>
    <w:lvl w:ilvl="5" w:tplc="6F5EE914">
      <w:start w:val="1"/>
      <w:numFmt w:val="bullet"/>
      <w:lvlText w:val="■"/>
      <w:lvlJc w:val="left"/>
      <w:pPr>
        <w:ind w:left="4320" w:hanging="360"/>
      </w:pPr>
    </w:lvl>
    <w:lvl w:ilvl="6" w:tplc="43B25D42">
      <w:start w:val="1"/>
      <w:numFmt w:val="bullet"/>
      <w:lvlText w:val="●"/>
      <w:lvlJc w:val="left"/>
      <w:pPr>
        <w:ind w:left="5040" w:hanging="360"/>
      </w:pPr>
    </w:lvl>
    <w:lvl w:ilvl="7" w:tplc="2BA47E72">
      <w:start w:val="1"/>
      <w:numFmt w:val="bullet"/>
      <w:lvlText w:val="●"/>
      <w:lvlJc w:val="left"/>
      <w:pPr>
        <w:ind w:left="5760" w:hanging="360"/>
      </w:pPr>
    </w:lvl>
    <w:lvl w:ilvl="8" w:tplc="6DDAD37E">
      <w:start w:val="1"/>
      <w:numFmt w:val="bullet"/>
      <w:lvlText w:val="●"/>
      <w:lvlJc w:val="left"/>
      <w:pPr>
        <w:ind w:left="6480" w:hanging="360"/>
      </w:pPr>
    </w:lvl>
  </w:abstractNum>
  <w:abstractNum w:abstractNumId="1" w15:restartNumberingAfterBreak="0">
    <w:nsid w:val="5CEF05B3"/>
    <w:multiLevelType w:val="hybridMultilevel"/>
    <w:tmpl w:val="98BC0308"/>
    <w:lvl w:ilvl="0" w:tplc="83B07BA6">
      <w:start w:val="1"/>
      <w:numFmt w:val="decimal"/>
      <w:lvlText w:val="%1."/>
      <w:lvlJc w:val="left"/>
      <w:pPr>
        <w:ind w:left="450" w:hanging="260"/>
      </w:pPr>
    </w:lvl>
    <w:lvl w:ilvl="1" w:tplc="2744DDDA">
      <w:numFmt w:val="decimal"/>
      <w:lvlText w:val=""/>
      <w:lvlJc w:val="left"/>
    </w:lvl>
    <w:lvl w:ilvl="2" w:tplc="7D848F82">
      <w:numFmt w:val="decimal"/>
      <w:lvlText w:val=""/>
      <w:lvlJc w:val="left"/>
    </w:lvl>
    <w:lvl w:ilvl="3" w:tplc="FC9EEFD6">
      <w:numFmt w:val="decimal"/>
      <w:lvlText w:val=""/>
      <w:lvlJc w:val="left"/>
    </w:lvl>
    <w:lvl w:ilvl="4" w:tplc="715C456E">
      <w:numFmt w:val="decimal"/>
      <w:lvlText w:val=""/>
      <w:lvlJc w:val="left"/>
    </w:lvl>
    <w:lvl w:ilvl="5" w:tplc="1C1E0442">
      <w:numFmt w:val="decimal"/>
      <w:lvlText w:val=""/>
      <w:lvlJc w:val="left"/>
    </w:lvl>
    <w:lvl w:ilvl="6" w:tplc="CD4A3AE6">
      <w:numFmt w:val="decimal"/>
      <w:lvlText w:val=""/>
      <w:lvlJc w:val="left"/>
    </w:lvl>
    <w:lvl w:ilvl="7" w:tplc="D8F24778">
      <w:numFmt w:val="decimal"/>
      <w:lvlText w:val=""/>
      <w:lvlJc w:val="left"/>
    </w:lvl>
    <w:lvl w:ilvl="8" w:tplc="1AE63C2A">
      <w:numFmt w:val="decimal"/>
      <w:lvlText w:val=""/>
      <w:lvlJc w:val="left"/>
    </w:lvl>
  </w:abstractNum>
  <w:abstractNum w:abstractNumId="2" w15:restartNumberingAfterBreak="0">
    <w:nsid w:val="672C541D"/>
    <w:multiLevelType w:val="hybridMultilevel"/>
    <w:tmpl w:val="55EA7E36"/>
    <w:lvl w:ilvl="0" w:tplc="7294F6DE">
      <w:start w:val="1"/>
      <w:numFmt w:val="bullet"/>
      <w:lvlText w:val="•"/>
      <w:lvlJc w:val="left"/>
      <w:pPr>
        <w:ind w:left="450" w:hanging="260"/>
      </w:pPr>
    </w:lvl>
    <w:lvl w:ilvl="1" w:tplc="4E2686AA">
      <w:numFmt w:val="decimal"/>
      <w:lvlText w:val=""/>
      <w:lvlJc w:val="left"/>
    </w:lvl>
    <w:lvl w:ilvl="2" w:tplc="AFF25F3E">
      <w:numFmt w:val="decimal"/>
      <w:lvlText w:val=""/>
      <w:lvlJc w:val="left"/>
    </w:lvl>
    <w:lvl w:ilvl="3" w:tplc="453EA790">
      <w:numFmt w:val="decimal"/>
      <w:lvlText w:val=""/>
      <w:lvlJc w:val="left"/>
    </w:lvl>
    <w:lvl w:ilvl="4" w:tplc="DDB64578">
      <w:numFmt w:val="decimal"/>
      <w:lvlText w:val=""/>
      <w:lvlJc w:val="left"/>
    </w:lvl>
    <w:lvl w:ilvl="5" w:tplc="5AE209B4">
      <w:numFmt w:val="decimal"/>
      <w:lvlText w:val=""/>
      <w:lvlJc w:val="left"/>
    </w:lvl>
    <w:lvl w:ilvl="6" w:tplc="A7584A2C">
      <w:numFmt w:val="decimal"/>
      <w:lvlText w:val=""/>
      <w:lvlJc w:val="left"/>
    </w:lvl>
    <w:lvl w:ilvl="7" w:tplc="EF5AFA00">
      <w:numFmt w:val="decimal"/>
      <w:lvlText w:val=""/>
      <w:lvlJc w:val="left"/>
    </w:lvl>
    <w:lvl w:ilvl="8" w:tplc="85D0E8C8">
      <w:numFmt w:val="decimal"/>
      <w:lvlText w:val=""/>
      <w:lvlJc w:val="left"/>
    </w:lvl>
  </w:abstractNum>
  <w:abstractNum w:abstractNumId="3" w15:restartNumberingAfterBreak="0">
    <w:nsid w:val="7A2E188B"/>
    <w:multiLevelType w:val="hybridMultilevel"/>
    <w:tmpl w:val="713A58AE"/>
    <w:lvl w:ilvl="0" w:tplc="6602B5D8">
      <w:start w:val="1"/>
      <w:numFmt w:val="decimal"/>
      <w:lvlText w:val="%1."/>
      <w:lvlJc w:val="left"/>
      <w:pPr>
        <w:ind w:left="450" w:hanging="260"/>
      </w:pPr>
    </w:lvl>
    <w:lvl w:ilvl="1" w:tplc="CAF25558">
      <w:numFmt w:val="decimal"/>
      <w:lvlText w:val=""/>
      <w:lvlJc w:val="left"/>
    </w:lvl>
    <w:lvl w:ilvl="2" w:tplc="9612C6CA">
      <w:numFmt w:val="decimal"/>
      <w:lvlText w:val=""/>
      <w:lvlJc w:val="left"/>
    </w:lvl>
    <w:lvl w:ilvl="3" w:tplc="D79626A0">
      <w:numFmt w:val="decimal"/>
      <w:lvlText w:val=""/>
      <w:lvlJc w:val="left"/>
    </w:lvl>
    <w:lvl w:ilvl="4" w:tplc="539C0C0A">
      <w:numFmt w:val="decimal"/>
      <w:lvlText w:val=""/>
      <w:lvlJc w:val="left"/>
    </w:lvl>
    <w:lvl w:ilvl="5" w:tplc="5A90CF24">
      <w:numFmt w:val="decimal"/>
      <w:lvlText w:val=""/>
      <w:lvlJc w:val="left"/>
    </w:lvl>
    <w:lvl w:ilvl="6" w:tplc="2FE01226">
      <w:numFmt w:val="decimal"/>
      <w:lvlText w:val=""/>
      <w:lvlJc w:val="left"/>
    </w:lvl>
    <w:lvl w:ilvl="7" w:tplc="AE6E560C">
      <w:numFmt w:val="decimal"/>
      <w:lvlText w:val=""/>
      <w:lvlJc w:val="left"/>
    </w:lvl>
    <w:lvl w:ilvl="8" w:tplc="6EB6DC7C">
      <w:numFmt w:val="decimal"/>
      <w:lvlText w:val=""/>
      <w:lvlJc w:val="left"/>
    </w:lvl>
  </w:abstractNum>
  <w:num w:numId="1" w16cid:durableId="606229110">
    <w:abstractNumId w:val="0"/>
    <w:lvlOverride w:ilvl="0">
      <w:startOverride w:val="1"/>
    </w:lvlOverride>
  </w:num>
  <w:num w:numId="2" w16cid:durableId="1368801472">
    <w:abstractNumId w:val="2"/>
    <w:lvlOverride w:ilvl="0">
      <w:startOverride w:val="1"/>
    </w:lvlOverride>
  </w:num>
  <w:num w:numId="3" w16cid:durableId="1782916667">
    <w:abstractNumId w:val="1"/>
    <w:lvlOverride w:ilvl="0">
      <w:startOverride w:val="1"/>
    </w:lvlOverride>
  </w:num>
  <w:num w:numId="4" w16cid:durableId="172386746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E2D"/>
    <w:rsid w:val="001B4E2D"/>
    <w:rsid w:val="008317F5"/>
    <w:rsid w:val="00D50B35"/>
    <w:rsid w:val="00DE0682"/>
    <w:rsid w:val="00EE18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B741D"/>
  <w15:docId w15:val="{B5CE981F-F304-46C7-AF0E-C3273B0F7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17</Pages>
  <Words>6473</Words>
  <Characters>36898</Characters>
  <Application>Microsoft Office Word</Application>
  <DocSecurity>0</DocSecurity>
  <Lines>307</Lines>
  <Paragraphs>86</Paragraphs>
  <ScaleCrop>false</ScaleCrop>
  <Company/>
  <LinksUpToDate>false</LinksUpToDate>
  <CharactersWithSpaces>43285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Samanyu Pattanayak</cp:lastModifiedBy>
  <cp:revision>4</cp:revision>
  <dcterms:created xsi:type="dcterms:W3CDTF">2026-08-25T19:52:00Z</dcterms:created>
  <dcterms:modified xsi:type="dcterms:W3CDTF">2026-08-26T09:47:00Z</dcterms:modified>
</cp:coreProperties>
</file>