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40"/>
          <w:sz w:val="32"/>
        </w:rPr>
        <w:t>INDIRECT COMMERCIAL AGREEMENT (PARTNER CHANNEL)</w:t>
      </w:r>
    </w:p>
    <w:p>
      <w:pPr>
        <w:jc w:val="center"/>
      </w:pPr>
      <w:r>
        <w:rPr>
          <w:b/>
          <w:color w:val="646464"/>
          <w:sz w:val="22"/>
        </w:rPr>
        <w:t>INDIRECT SALE — CUSTOMER OWNERSHIP VIA DISTRIBUTOR</w:t>
      </w:r>
    </w:p>
    <w:p/>
    <w:p>
      <w:r>
        <w:t xml:space="preserve">This Tripartite Indirect Commercial Agreement ("Agreement") is formalized on </w:t>
      </w:r>
      <w:r>
        <w:rPr>
          <w:b/>
        </w:rPr>
        <w:t>{{agreement_date}}</w:t>
      </w:r>
      <w:r>
        <w:t xml:space="preserve"> governing the sale and deployment of equipment: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 Customer Name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{{customer_name}}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Account Number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{{customer_id}}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Distributor / Partner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{{distributor_name}}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Delivery / Installation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{{customer_address}}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Representative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{{contact_person}}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{{contact_email}}</w:t>
            </w:r>
          </w:p>
        </w:tc>
      </w:tr>
    </w:tbl>
    <w:p/>
    <w:p>
      <w:pPr>
        <w:pStyle w:val="Heading1"/>
      </w:pPr>
      <w:r>
        <w:rPr>
          <w:color w:val="800040"/>
        </w:rPr>
        <w:t>1. EQUIPMENT DETAILS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Model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{{equipment_name}}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Details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{{equipment_details}}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{{serial_number}}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Units Supplied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{{quantity}}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Title &amp; Ownership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{{device_ownership}}</w:t>
            </w:r>
          </w:p>
        </w:tc>
      </w:tr>
    </w:tbl>
    <w:p>
      <w:pPr>
        <w:pStyle w:val="Heading1"/>
      </w:pPr>
      <w:r>
        <w:rPr>
          <w:color w:val="800040"/>
        </w:rPr>
        <w:t>2. COMMERCIAL TERMS &amp; CHANNEL FULFILLMENT</w:t>
      </w:r>
    </w:p>
    <w:p>
      <w:r>
        <w:rPr>
          <w:b/>
        </w:rPr>
        <w:t xml:space="preserve">2.1 Commercial Consideration: </w:t>
      </w:r>
      <w:r>
        <w:t xml:space="preserve">The total transaction value routed via the Authorized Distributor is ₹ </w:t>
      </w:r>
      <w:r>
        <w:rPr>
          <w:b/>
        </w:rPr>
        <w:t>{{agreement_value}}</w:t>
      </w:r>
      <w:r>
        <w:t>.</w:t>
      </w:r>
    </w:p>
    <w:p>
      <w:r>
        <w:t>2.2 Invoicing Channel: Invoices and billing statements shall be raised by the Authorized Distributor in accordance with the channel distribution framework.</w:t>
      </w:r>
    </w:p>
    <w:p>
      <w:r>
        <w:t>2.3 Ownership Vesting: Title to the equipment vests permanently with the End Customer upon invoice clearance.</w:t>
      </w:r>
    </w:p>
    <w:p>
      <w:pPr>
        <w:pStyle w:val="Heading1"/>
      </w:pPr>
      <w:r>
        <w:rPr>
          <w:color w:val="800040"/>
        </w:rPr>
        <w:t>3. EFFECTIVE PERIOD &amp; TECHNICAL WARRANTY</w:t>
      </w:r>
    </w:p>
    <w:p>
      <w:r>
        <w:t xml:space="preserve">3.1 Agreement Period: Effective from </w:t>
      </w:r>
      <w:r>
        <w:rPr>
          <w:b/>
        </w:rPr>
        <w:t>{{start_date}}</w:t>
      </w:r>
      <w:r>
        <w:t xml:space="preserve"> through </w:t>
      </w:r>
      <w:r>
        <w:rPr>
          <w:b/>
        </w:rPr>
        <w:t>{{end_date}}</w:t>
      </w:r>
      <w:r>
        <w:t>.</w:t>
      </w:r>
    </w:p>
    <w:p>
      <w:r>
        <w:t>3.2 Factory Warranty: Equipment includes manufacturer standard warranty backed by local channel support.</w:t>
      </w:r>
    </w:p>
    <w:p/>
    <w:p>
      <w:pPr>
        <w:pStyle w:val="Heading2"/>
      </w:pPr>
      <w:r>
        <w:t>ENDORSEMENTS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DISTRIBUTOR &amp; SUPPLIER: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END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>Distributor: {{distributor_name}}</w:t>
              <w:br/>
              <w:t>Date: {{agreement_date}}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Customer Representative: {{contact_person}}</w:t>
              <w:br/>
              <w:t>Customer: {{customer_name}}</w:t>
              <w:br/>
              <w:t>Date: {{agreement_date}}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