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INNOJECT PRO CHANNEL PLACEMENT AGREEMENT</w:t>
      </w:r>
    </w:p>
    <w:p>
      <w:pPr>
        <w:jc w:val="center"/>
      </w:pPr>
      <w:r>
        <w:rPr>
          <w:b/>
          <w:color w:val="646464"/>
          <w:sz w:val="22"/>
        </w:rPr>
        <w:t>INDIRECT PLACEMENT — COMPANY OWNERSHIP MODEL</w:t>
      </w:r>
    </w:p>
    <w:p/>
    <w:p>
      <w:r>
        <w:t xml:space="preserve">This Channel Placement Agreement ("Agreement") is entered into on </w:t>
      </w:r>
      <w:r>
        <w:rPr>
          <w:b/>
        </w:rPr>
        <w:t>{{agreement_date}}</w:t>
      </w:r>
      <w:r>
        <w:t xml:space="preserve"> for placement of Innoject Pro systems at the clinic/end-user site: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 Clinic / Customer Name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{{customer_name}}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Account ID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{{customer_id}}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Channel Partner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{{distributor_name}}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Installation Clinic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{{customer_address}}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Clinic Point of Contact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{{contact_person}}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{{contact_email}}</w:t>
            </w:r>
          </w:p>
        </w:tc>
      </w:tr>
    </w:tbl>
    <w:p/>
    <w:p>
      <w:pPr>
        <w:pStyle w:val="Heading1"/>
      </w:pPr>
      <w:r>
        <w:rPr>
          <w:color w:val="2C3E50"/>
        </w:rPr>
        <w:t>1. SYSTEM IDENTIFICATION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Model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{{equipment_name}}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{{equipment_details}}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Identification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{{serial_number}}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Units Deployed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{{quantity}}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Asset Ownership Title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{{device_ownership}}</w:t>
            </w:r>
          </w:p>
        </w:tc>
      </w:tr>
    </w:tbl>
    <w:p>
      <w:pPr>
        <w:pStyle w:val="Heading1"/>
      </w:pPr>
      <w:r>
        <w:rPr>
          <w:color w:val="2C3E50"/>
        </w:rPr>
        <w:t>2. ASSET OWNERSHIP &amp; CHANNEL PROVISIONS</w:t>
      </w:r>
    </w:p>
    <w:p>
      <w:r>
        <w:t>2.1 Absolute Company Ownership: The Innoject Pro unit is placed on loan/lease terms and remains the exclusive asset of the Company. Neither the Channel Partner nor End Customer shall create any lien or charge on the equipment.</w:t>
      </w:r>
    </w:p>
    <w:p>
      <w:r>
        <w:rPr>
          <w:b/>
        </w:rPr>
        <w:t xml:space="preserve">2.2 Placement Commercials: </w:t>
      </w:r>
      <w:r>
        <w:t xml:space="preserve">Commercial arrangement fee is set at ₹ </w:t>
      </w:r>
      <w:r>
        <w:rPr>
          <w:b/>
        </w:rPr>
        <w:t>{{agreement_value}}</w:t>
      </w:r>
      <w:r>
        <w:t xml:space="preserve"> under channel settlement terms.</w:t>
      </w:r>
    </w:p>
    <w:p>
      <w:pPr>
        <w:pStyle w:val="Heading1"/>
      </w:pPr>
      <w:r>
        <w:rPr>
          <w:color w:val="2C3E50"/>
        </w:rPr>
        <w:t>3. PLACEMENT PERIOD &amp; RETURN OBLIGATION</w:t>
      </w:r>
    </w:p>
    <w:p>
      <w:r>
        <w:t xml:space="preserve">3.1 Duration: Valid from </w:t>
      </w:r>
      <w:r>
        <w:rPr>
          <w:b/>
        </w:rPr>
        <w:t>{{start_date}}</w:t>
      </w:r>
      <w:r>
        <w:t xml:space="preserve"> until </w:t>
      </w:r>
      <w:r>
        <w:rPr>
          <w:b/>
        </w:rPr>
        <w:t>{{end_date}}</w:t>
      </w:r>
      <w:r>
        <w:t>.</w:t>
      </w:r>
    </w:p>
    <w:p>
      <w:r>
        <w:t>3.2 Decommissioning: At conclusion of term, the equipment shall be surrendered in working order.</w:t>
      </w:r>
    </w:p>
    <w:p/>
    <w:p>
      <w:pPr>
        <w:pStyle w:val="Heading2"/>
      </w:pPr>
      <w:r>
        <w:t>SIGNATURES &amp; ACKNOWLEDGEMENT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COMPANY &amp; CHANNEL PARTNER: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END CLINIC / RECIPIENT: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Representative: {{distributor_name}}</w:t>
              <w:br/>
              <w:t>Date: {{agreement_date}}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Clinic In-Charge: {{contact_person}}</w:t>
              <w:br/>
              <w:t>Clinic: {{customer_name}}</w:t>
              <w:br/>
              <w:t>Date: {{agreement_date}}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