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857C"/>
          <w:sz w:val="32"/>
        </w:rPr>
        <w:t>INTERVET INDIA PRIVATE LIMITED</w:t>
      </w:r>
    </w:p>
    <w:p>
      <w:pPr>
        <w:jc w:val="center"/>
      </w:pPr>
      <w:r>
        <w:rPr>
          <w:rFonts w:ascii="Calibri" w:hAnsi="Calibri"/>
          <w:color w:val="666666"/>
          <w:sz w:val="20"/>
        </w:rPr>
        <w:t>(A subsidiary of Merck &amp; Co., Inc.)</w:t>
      </w:r>
    </w:p>
    <w:p/>
    <w:p>
      <w:pPr>
        <w:jc w:val="center"/>
      </w:pPr>
      <w:r>
        <w:rPr>
          <w:rFonts w:ascii="Calibri" w:hAnsi="Calibri"/>
          <w:b/>
          <w:sz w:val="28"/>
        </w:rPr>
        <w:t>DIRECT DEVICE AGREEMENT</w:t>
      </w:r>
    </w:p>
    <w:p>
      <w:pPr>
        <w:jc w:val="center"/>
      </w:pPr>
      <w:r>
        <w:rPr>
          <w:rFonts w:ascii="Calibri" w:hAnsi="Calibri"/>
          <w:color w:val="666666"/>
          <w:sz w:val="22"/>
        </w:rPr>
        <w:t>Innoject Pro — Needle-Free Injection System</w:t>
      </w:r>
    </w:p>
    <w:p>
      <w:pPr>
        <w:jc w:val="center"/>
      </w:pPr>
      <w:r>
        <w:rPr>
          <w:rFonts w:ascii="Calibri" w:hAnsi="Calibri"/>
          <w:sz w:val="22"/>
        </w:rPr>
        <w:t>Date: {{date}}</w:t>
      </w:r>
    </w:p>
    <w:p/>
    <w:p>
      <w:pPr>
        <w:pStyle w:val="Heading1"/>
      </w:pPr>
      <w:r>
        <w:rPr>
          <w:color w:val="00857C"/>
        </w:rPr>
        <w:t>1. PARTIES</w:t>
      </w:r>
    </w:p>
    <w:p>
      <w:pPr>
        <w:spacing w:after="120"/>
      </w:pPr>
      <w:r>
        <w:rPr>
          <w:rFonts w:ascii="Calibri" w:hAnsi="Calibri"/>
          <w:b w:val="0"/>
          <w:sz w:val="22"/>
        </w:rPr>
        <w:t>This Device Agreement ("Agreement") is entered into as of {{date}} ("Effective Date"), by and between:</w:t>
      </w:r>
    </w:p>
    <w:p>
      <w:pPr>
        <w:spacing w:after="160"/>
      </w:pPr>
      <w:r>
        <w:rPr>
          <w:rFonts w:ascii="Calibri" w:hAnsi="Calibri"/>
          <w:b w:val="0"/>
          <w:sz w:val="22"/>
        </w:rPr>
        <w:t>Intervet India Private Limited, a company incorporated under the laws of India, having its registered office at Pune, Maharashtra (hereinafter referred to as "Intervet" or "Company"), of the FIRST PART;</w:t>
      </w:r>
    </w:p>
    <w:p>
      <w:pPr>
        <w:spacing w:after="120"/>
      </w:pPr>
      <w:r>
        <w:rPr>
          <w:rFonts w:ascii="Calibri" w:hAnsi="Calibri"/>
          <w:b w:val="0"/>
          <w:sz w:val="22"/>
        </w:rPr>
        <w:t>AND</w:t>
      </w:r>
    </w:p>
    <w:p>
      <w:pPr>
        <w:spacing w:after="160"/>
      </w:pPr>
      <w:r>
        <w:rPr>
          <w:rFonts w:ascii="Calibri" w:hAnsi="Calibri"/>
          <w:b w:val="0"/>
          <w:sz w:val="22"/>
        </w:rPr>
        <w:t>{{customer_name}}, located at {{location}} (hereinafter referred to as the "Customer" or "Recipient"), of the SECOND PART.</w:t>
      </w:r>
    </w:p>
    <w:p>
      <w:pPr>
        <w:spacing w:after="120"/>
      </w:pPr>
      <w:r>
        <w:rPr>
          <w:rFonts w:ascii="Calibri" w:hAnsi="Calibri"/>
          <w:b w:val="0"/>
          <w:sz w:val="22"/>
        </w:rPr>
        <w:t>(Intervet and the Customer are hereinafter individually referred to as "Party" and collectively as "Parties".)</w:t>
      </w:r>
    </w:p>
    <w:p>
      <w:pPr>
        <w:pStyle w:val="Heading1"/>
      </w:pPr>
      <w:r>
        <w:rPr>
          <w:color w:val="00857C"/>
        </w:rPr>
        <w:t>2. RECITALS</w:t>
      </w:r>
    </w:p>
    <w:p>
      <w:pPr>
        <w:spacing w:after="120"/>
      </w:pPr>
      <w:r>
        <w:rPr>
          <w:rFonts w:ascii="Calibri" w:hAnsi="Calibri"/>
          <w:b w:val="0"/>
          <w:sz w:val="22"/>
        </w:rPr>
        <w:t>WHEREAS, Intervet is engaged in the business of manufacturing, importing, distributing, and selling animal health products, vaccines, pharmaceutical devices, and needle-free injection systems for veterinary use;</w:t>
      </w:r>
    </w:p>
    <w:p>
      <w:pPr>
        <w:spacing w:after="120"/>
      </w:pPr>
      <w:r>
        <w:rPr>
          <w:rFonts w:ascii="Calibri" w:hAnsi="Calibri"/>
          <w:b w:val="0"/>
          <w:sz w:val="22"/>
        </w:rPr>
        <w:t>WHEREAS, Intervet has developed the Innoject Pro Needle-Free Injection System ("Innoject Pro"), a proprietary device designed for needle-free administration of vaccines and pharmaceuticals in animals;</w:t>
      </w:r>
    </w:p>
    <w:p>
      <w:pPr>
        <w:spacing w:after="120"/>
      </w:pPr>
      <w:r>
        <w:rPr>
          <w:rFonts w:ascii="Calibri" w:hAnsi="Calibri"/>
          <w:b w:val="0"/>
          <w:sz w:val="22"/>
        </w:rPr>
        <w:t>WHEREAS, the Customer desires to acquire Innoject Pro device(s) from Intervet for use in its veterinary or animal health practice;</w:t>
      </w:r>
    </w:p>
    <w:p>
      <w:pPr>
        <w:spacing w:after="120"/>
      </w:pPr>
      <w:r>
        <w:rPr>
          <w:rFonts w:ascii="Calibri" w:hAnsi="Calibri"/>
          <w:b w:val="0"/>
          <w:sz w:val="22"/>
        </w:rPr>
        <w:t>NOW, THEREFORE, in consideration of the mutual covenants and agreements contained herein, the Parties agree as follows:</w:t>
      </w:r>
    </w:p>
    <w:p>
      <w:pPr>
        <w:pStyle w:val="Heading1"/>
      </w:pPr>
      <w:r>
        <w:rPr>
          <w:color w:val="00857C"/>
        </w:rPr>
        <w:t>3. EQUIPMENT DETAILS</w:t>
      </w:r>
    </w:p>
    <w:p>
      <w:pPr>
        <w:spacing w:after="120"/>
      </w:pPr>
      <w:r>
        <w:rPr>
          <w:rFonts w:ascii="Calibri" w:hAnsi="Calibri"/>
          <w:b w:val="0"/>
          <w:sz w:val="22"/>
        </w:rPr>
        <w:t>The following Innoject Pro device(s) and accessories are covered under this Agreement:</w:t>
      </w:r>
    </w:p>
    <w:p>
      <w:r>
        <w:rPr>
          <w:rFonts w:ascii="Calibri" w:hAnsi="Calibri"/>
          <w:sz w:val="22"/>
        </w:rPr>
        <w:t>{{equipment_table}}</w:t>
      </w:r>
    </w:p>
    <w:p>
      <w:pPr>
        <w:pStyle w:val="Heading1"/>
      </w:pPr>
      <w:r>
        <w:rPr>
          <w:color w:val="00857C"/>
        </w:rPr>
        <w:t>4. TERMS AND CONDITIONS</w:t>
      </w:r>
    </w:p>
    <w:p>
      <w:pPr>
        <w:pStyle w:val="Heading2"/>
      </w:pPr>
      <w:r>
        <w:rPr>
          <w:color w:val="00857C"/>
        </w:rPr>
        <w:t>4.1 Device Specifications</w:t>
      </w:r>
    </w:p>
    <w:p>
      <w:pPr>
        <w:spacing w:after="120"/>
      </w:pPr>
      <w:r>
        <w:rPr>
          <w:rFonts w:ascii="Calibri" w:hAnsi="Calibri"/>
          <w:b w:val="0"/>
          <w:sz w:val="22"/>
        </w:rPr>
        <w:t>The Innoject Pro is a needle-free injection system designed for the subcutaneous and intramuscular administration of vaccines and pharmaceuticals in livestock and companion animals. The device operates using high-pressure technology to deliver precise dosages without the use of needles.</w:t>
      </w:r>
    </w:p>
    <w:p>
      <w:pPr>
        <w:pStyle w:val="Heading2"/>
      </w:pPr>
      <w:r>
        <w:rPr>
          <w:color w:val="00857C"/>
        </w:rPr>
        <w:t>4.2 Ownership and Transfer</w:t>
      </w:r>
    </w:p>
    <w:p>
      <w:pPr>
        <w:spacing w:after="120"/>
      </w:pPr>
      <w:r>
        <w:rPr>
          <w:rFonts w:ascii="Calibri" w:hAnsi="Calibri"/>
          <w:b w:val="0"/>
          <w:sz w:val="22"/>
        </w:rPr>
        <w:t>Upon completion of the sale and receipt of full payment, the ownership of the Innoject Pro device(s) shall transfer to the Customer. The Customer shall be the sole and absolute owner of the device(s) from the date of delivery.</w:t>
      </w:r>
    </w:p>
    <w:p>
      <w:pPr>
        <w:pStyle w:val="Heading2"/>
      </w:pPr>
      <w:r>
        <w:rPr>
          <w:color w:val="00857C"/>
        </w:rPr>
        <w:t>4.3 Training and Certification</w:t>
      </w:r>
    </w:p>
    <w:p>
      <w:pPr>
        <w:spacing w:after="120"/>
      </w:pPr>
      <w:r>
        <w:rPr>
          <w:rFonts w:ascii="Calibri" w:hAnsi="Calibri"/>
          <w:b w:val="0"/>
          <w:sz w:val="22"/>
        </w:rPr>
        <w:t>Intervet shall provide comprehensive training to the Customer's designated personnel on the proper use, handling, maintenance, and safety protocols of the Innoject Pro device. Training shall be provided at no additional cost within 30 (thirty) days of delivery.</w:t>
      </w:r>
    </w:p>
    <w:p>
      <w:pPr>
        <w:pStyle w:val="Heading2"/>
      </w:pPr>
      <w:r>
        <w:rPr>
          <w:color w:val="00857C"/>
        </w:rPr>
        <w:t>4.4 Safety and Compliance</w:t>
      </w:r>
    </w:p>
    <w:p>
      <w:pPr>
        <w:spacing w:after="120"/>
      </w:pPr>
      <w:r>
        <w:rPr>
          <w:rFonts w:ascii="Calibri" w:hAnsi="Calibri"/>
          <w:b w:val="0"/>
          <w:sz w:val="22"/>
        </w:rPr>
        <w:t>The Customer shall use the Innoject Pro device only in accordance with the manufacturer's instructions and applicable regulatory requirements. The Customer shall ensure that all operators are trained and certified before using the device. Use of the device with unauthorized consumables or modifications shall void the warranty.</w:t>
      </w:r>
    </w:p>
    <w:p>
      <w:pPr>
        <w:pStyle w:val="Heading2"/>
      </w:pPr>
      <w:r>
        <w:rPr>
          <w:color w:val="00857C"/>
        </w:rPr>
        <w:t>4.5 Warranty</w:t>
      </w:r>
    </w:p>
    <w:p>
      <w:pPr>
        <w:spacing w:after="120"/>
      </w:pPr>
      <w:r>
        <w:rPr>
          <w:rFonts w:ascii="Calibri" w:hAnsi="Calibri"/>
          <w:b w:val="0"/>
          <w:sz w:val="22"/>
        </w:rPr>
        <w:t>Intervet warrants that the Innoject Pro device shall be free from defects in material and workmanship for a period of 12 (twelve) months from the date of delivery. This warranty covers manufacturing defects only and excludes damage caused by misuse, unauthorized modification, or failure to follow operating instructions.</w:t>
      </w:r>
    </w:p>
    <w:p>
      <w:pPr>
        <w:pStyle w:val="Heading2"/>
      </w:pPr>
      <w:r>
        <w:rPr>
          <w:color w:val="00857C"/>
        </w:rPr>
        <w:t>4.6 Consumables and Spare Parts</w:t>
      </w:r>
    </w:p>
    <w:p>
      <w:pPr>
        <w:spacing w:after="120"/>
      </w:pPr>
      <w:r>
        <w:rPr>
          <w:rFonts w:ascii="Calibri" w:hAnsi="Calibri"/>
          <w:b w:val="0"/>
          <w:sz w:val="22"/>
        </w:rPr>
        <w:t>The Customer shall purchase consumables, spare parts, and replacement components exclusively from Intervet or its authorized distributors to ensure device performance and safety compliance.</w:t>
      </w:r>
    </w:p>
    <w:p>
      <w:pPr>
        <w:pStyle w:val="Heading2"/>
      </w:pPr>
      <w:r>
        <w:rPr>
          <w:color w:val="00857C"/>
        </w:rPr>
        <w:t>4.7 Payment</w:t>
      </w:r>
    </w:p>
    <w:p>
      <w:pPr>
        <w:spacing w:after="120"/>
      </w:pPr>
      <w:r>
        <w:rPr>
          <w:rFonts w:ascii="Calibri" w:hAnsi="Calibri"/>
          <w:b w:val="0"/>
          <w:sz w:val="22"/>
        </w:rPr>
        <w:t>The Customer agrees to pay for the device(s) as per the commercial terms agreed between the Parties. All payments shall be made within 30 (thirty) days from the date of invoice.</w:t>
      </w:r>
    </w:p>
    <w:p>
      <w:pPr>
        <w:pStyle w:val="Heading2"/>
      </w:pPr>
      <w:r>
        <w:rPr>
          <w:color w:val="00857C"/>
        </w:rPr>
        <w:t>4.8 Indemnification</w:t>
      </w:r>
    </w:p>
    <w:p>
      <w:pPr>
        <w:spacing w:after="120"/>
      </w:pPr>
      <w:r>
        <w:rPr>
          <w:rFonts w:ascii="Calibri" w:hAnsi="Calibri"/>
          <w:b w:val="0"/>
          <w:sz w:val="22"/>
        </w:rPr>
        <w:t>Each Party shall indemnify and hold harmless the other Party from any claims, losses, or damages arising from any breach of this Agreement or negligent use of the device.</w:t>
      </w:r>
    </w:p>
    <w:p>
      <w:pPr>
        <w:pStyle w:val="Heading2"/>
      </w:pPr>
      <w:r>
        <w:rPr>
          <w:color w:val="00857C"/>
        </w:rPr>
        <w:t>4.9 Confidentiality</w:t>
      </w:r>
    </w:p>
    <w:p>
      <w:pPr>
        <w:spacing w:after="120"/>
      </w:pPr>
      <w:r>
        <w:rPr>
          <w:rFonts w:ascii="Calibri" w:hAnsi="Calibri"/>
          <w:b w:val="0"/>
          <w:sz w:val="22"/>
        </w:rPr>
        <w:t>Both Parties agree to maintain the confidentiality of all proprietary information, including device specifications, pricing, and technical documentation, for a period of 3 (three) years following termination of this Agreement.</w:t>
      </w:r>
    </w:p>
    <w:p>
      <w:pPr>
        <w:pStyle w:val="Heading2"/>
      </w:pPr>
      <w:r>
        <w:rPr>
          <w:color w:val="00857C"/>
        </w:rPr>
        <w:t>4.10 Governing Law</w:t>
      </w:r>
    </w:p>
    <w:p>
      <w:pPr>
        <w:spacing w:after="120"/>
      </w:pPr>
      <w:r>
        <w:rPr>
          <w:rFonts w:ascii="Calibri" w:hAnsi="Calibri"/>
          <w:b w:val="0"/>
          <w:sz w:val="22"/>
        </w:rPr>
        <w:t>This Agreement shall be governed by the laws of India. Any disputes shall be resolved through arbitration in Pune, Maharashtra, in accordance with the Arbitration and Conciliation Act, 1996.</w:t>
      </w:r>
    </w:p>
    <w:p>
      <w:pPr>
        <w:pStyle w:val="Heading2"/>
      </w:pPr>
      <w:r>
        <w:rPr>
          <w:color w:val="00857C"/>
        </w:rPr>
        <w:t>4.11 Entire Agreement</w:t>
      </w:r>
    </w:p>
    <w:p>
      <w:pPr>
        <w:spacing w:after="120"/>
      </w:pPr>
      <w:r>
        <w:rPr>
          <w:rFonts w:ascii="Calibri" w:hAnsi="Calibri"/>
          <w:b w:val="0"/>
          <w:sz w:val="22"/>
        </w:rPr>
        <w:t>This Agreement, together with its Exhibits, constitutes the entire agreement between the Parties and supersedes all prior understandings.</w:t>
      </w:r>
    </w:p>
    <w:p>
      <w:pPr>
        <w:pStyle w:val="Heading1"/>
      </w:pPr>
      <w:r>
        <w:rPr>
          <w:color w:val="00857C"/>
        </w:rPr>
        <w:t>5. DEVICE RELEASE FORM</w:t>
      </w:r>
    </w:p>
    <w:p>
      <w:pPr>
        <w:spacing w:after="120"/>
      </w:pPr>
      <w:r>
        <w:rPr>
          <w:rFonts w:ascii="Calibri" w:hAnsi="Calibri"/>
          <w:b w:val="0"/>
          <w:sz w:val="22"/>
        </w:rPr>
        <w:t>Date: {{date}}</w:t>
      </w:r>
    </w:p>
    <w:p>
      <w:pPr>
        <w:spacing w:after="120"/>
      </w:pPr>
      <w:r>
        <w:rPr>
          <w:rFonts w:ascii="Calibri" w:hAnsi="Calibri"/>
          <w:b w:val="0"/>
          <w:sz w:val="22"/>
        </w:rPr>
        <w:t>To,</w:t>
      </w:r>
    </w:p>
    <w:p>
      <w:pPr>
        <w:spacing w:after="120"/>
      </w:pPr>
      <w:r>
        <w:rPr>
          <w:rFonts w:ascii="Calibri" w:hAnsi="Calibri"/>
          <w:b w:val="0"/>
          <w:sz w:val="22"/>
        </w:rPr>
        <w:t>{{customer_name}}</w:t>
      </w:r>
    </w:p>
    <w:p>
      <w:pPr>
        <w:spacing w:after="120"/>
      </w:pPr>
      <w:r>
        <w:rPr>
          <w:rFonts w:ascii="Calibri" w:hAnsi="Calibri"/>
          <w:b w:val="0"/>
          <w:sz w:val="22"/>
        </w:rPr>
        <w:t>{{address}}</w:t>
      </w:r>
    </w:p>
    <w:p/>
    <w:p>
      <w:pPr>
        <w:spacing w:after="120"/>
      </w:pPr>
      <w:r>
        <w:rPr>
          <w:rFonts w:ascii="Calibri" w:hAnsi="Calibri"/>
          <w:b w:val="0"/>
          <w:sz w:val="22"/>
        </w:rPr>
        <w:t>Dear Sir/Madam,</w:t>
      </w:r>
    </w:p>
    <w:p>
      <w:pPr>
        <w:spacing w:after="120"/>
      </w:pPr>
      <w:r>
        <w:rPr>
          <w:rFonts w:ascii="Calibri" w:hAnsi="Calibri"/>
          <w:b w:val="0"/>
          <w:sz w:val="22"/>
        </w:rPr>
        <w:t>We hereby confirm the release and delivery of the Innoject Pro device(s) as detailed in this Agreement. Please acknowledge receipt by signing below.</w:t>
      </w:r>
    </w:p>
    <w:p>
      <w:pPr>
        <w:pStyle w:val="Heading2"/>
      </w:pPr>
      <w:r>
        <w:rPr>
          <w:color w:val="00857C"/>
        </w:rPr>
        <w:t>INTERNAL APPROVAL</w:t>
      </w:r>
    </w:p>
    <w:tbl>
      <w:tblPr>
        <w:tblStyle w:val="TableGrid"/>
        <w:tblW w:type="auto" w:w="0"/>
        <w:jc w:val="center"/>
        <w:tblLook w:firstColumn="1" w:firstRow="1" w:lastColumn="0" w:lastRow="0" w:noHBand="0" w:noVBand="1" w:val="04A0"/>
      </w:tblPr>
      <w:tblGrid>
        <w:gridCol w:w="4320"/>
        <w:gridCol w:w="4320"/>
      </w:tblGrid>
      <w:tr>
        <w:tc>
          <w:tcPr>
            <w:tcW w:type="dxa" w:w="4320"/>
            <w:shd w:fill="E6F3F2"/>
          </w:tcPr>
          <w:p>
            <w:r>
              <w:rPr>
                <w:rFonts w:ascii="Calibri" w:hAnsi="Calibri"/>
                <w:b/>
                <w:sz w:val="20"/>
              </w:rPr>
              <w:t>Role</w:t>
            </w:r>
          </w:p>
        </w:tc>
        <w:tc>
          <w:tcPr>
            <w:tcW w:type="dxa" w:w="4320"/>
            <w:shd w:fill="E6F3F2"/>
          </w:tcPr>
          <w:p>
            <w:r>
              <w:rPr>
                <w:rFonts w:ascii="Calibri" w:hAnsi="Calibri"/>
                <w:b/>
                <w:sz w:val="20"/>
              </w:rPr>
              <w:t>Name and Date</w:t>
            </w:r>
          </w:p>
        </w:tc>
      </w:tr>
      <w:tr>
        <w:tc>
          <w:tcPr>
            <w:tcW w:type="dxa" w:w="4320"/>
          </w:tcPr>
          <w:p>
            <w:r>
              <w:rPr>
                <w:rFonts w:ascii="Calibri" w:hAnsi="Calibri"/>
                <w:sz w:val="20"/>
              </w:rPr>
              <w:t>Initiator</w:t>
            </w:r>
          </w:p>
        </w:tc>
        <w:tc>
          <w:tcPr>
            <w:tcW w:type="dxa" w:w="4320"/>
          </w:tcPr>
          <w:p>
            <w:r>
              <w:rPr>
                <w:rFonts w:ascii="Calibri" w:hAnsi="Calibri"/>
                <w:sz w:val="20"/>
              </w:rPr>
              <w:t>{{initiator_name_and_date}}</w:t>
            </w:r>
          </w:p>
        </w:tc>
      </w:tr>
      <w:tr>
        <w:tc>
          <w:tcPr>
            <w:tcW w:type="dxa" w:w="4320"/>
          </w:tcPr>
          <w:p>
            <w:r>
              <w:rPr>
                <w:rFonts w:ascii="Calibri" w:hAnsi="Calibri"/>
                <w:sz w:val="20"/>
              </w:rPr>
              <w:t>Manager</w:t>
            </w:r>
          </w:p>
        </w:tc>
        <w:tc>
          <w:tcPr>
            <w:tcW w:type="dxa" w:w="4320"/>
          </w:tcPr>
          <w:p>
            <w:r>
              <w:rPr>
                <w:rFonts w:ascii="Calibri" w:hAnsi="Calibri"/>
                <w:sz w:val="20"/>
              </w:rPr>
              <w:t>{{manager_name_and_date}}</w:t>
            </w:r>
          </w:p>
        </w:tc>
      </w:tr>
    </w:tbl>
    <w:p/>
    <w:p>
      <w:pPr>
        <w:pStyle w:val="Heading2"/>
      </w:pPr>
      <w:r>
        <w:rPr>
          <w:color w:val="00857C"/>
        </w:rPr>
        <w:t>SIGNATURES</w:t>
      </w:r>
    </w:p>
    <w:p>
      <w:pPr>
        <w:spacing w:after="240"/>
      </w:pPr>
      <w:r>
        <w:rPr>
          <w:rFonts w:ascii="Calibri" w:hAnsi="Calibri"/>
          <w:b w:val="0"/>
          <w:sz w:val="22"/>
        </w:rPr>
        <w:t>IN WITNESS WHEREOF, the parties hereto have executed this Agreement as of the date first written above.</w:t>
      </w:r>
    </w:p>
    <w:tbl>
      <w:tblPr>
        <w:tblStyle w:val="TableGrid"/>
        <w:tblW w:type="auto" w:w="0"/>
        <w:jc w:val="center"/>
        <w:tblLook w:firstColumn="1" w:firstRow="1" w:lastColumn="0" w:lastRow="0" w:noHBand="0" w:noVBand="1" w:val="04A0"/>
      </w:tblPr>
      <w:tblGrid>
        <w:gridCol w:w="4320"/>
        <w:gridCol w:w="4320"/>
      </w:tblGrid>
      <w:tr>
        <w:tc>
          <w:tcPr>
            <w:tcW w:type="dxa" w:w="5040"/>
            <w:shd w:fill="E6F3F2"/>
          </w:tcPr>
          <w:p>
            <w:r>
              <w:rPr>
                <w:rFonts w:ascii="Calibri" w:hAnsi="Calibri"/>
                <w:b/>
                <w:sz w:val="20"/>
              </w:rPr>
              <w:t>Customer / Receiver</w:t>
            </w:r>
          </w:p>
        </w:tc>
        <w:tc>
          <w:tcPr>
            <w:tcW w:type="dxa" w:w="5040"/>
            <w:shd w:fill="E6F3F2"/>
          </w:tcPr>
          <w:p>
            <w:r>
              <w:rPr>
                <w:rFonts w:ascii="Calibri" w:hAnsi="Calibri"/>
                <w:b/>
                <w:sz w:val="20"/>
              </w:rPr>
              <w:t>Intervet India Private Limited</w:t>
            </w:r>
          </w:p>
        </w:tc>
      </w:tr>
      <w:tr>
        <w:tc>
          <w:tcPr>
            <w:tcW w:type="dxa" w:w="5040"/>
          </w:tcPr>
          <w:p>
            <w:r>
              <w:rPr>
                <w:rFonts w:ascii="Calibri" w:hAnsi="Calibri"/>
                <w:sz w:val="20"/>
              </w:rPr>
              <w:t>Signature:</w:t>
            </w:r>
          </w:p>
        </w:tc>
        <w:tc>
          <w:tcPr>
            <w:tcW w:type="dxa" w:w="5040"/>
          </w:tcPr>
          <w:p>
            <w:r>
              <w:rPr>
                <w:rFonts w:ascii="Calibri" w:hAnsi="Calibri"/>
                <w:sz w:val="20"/>
              </w:rPr>
              <w:t>Signature:</w:t>
            </w:r>
          </w:p>
        </w:tc>
      </w:tr>
      <w:tr>
        <w:tc>
          <w:tcPr>
            <w:tcW w:type="dxa" w:w="5040"/>
          </w:tcPr>
          <w:p>
            <w:r>
              <w:rPr>
                <w:rFonts w:ascii="Calibri" w:hAnsi="Calibri"/>
                <w:sz w:val="20"/>
              </w:rPr>
              <w:t>{{customer_signature}}</w:t>
            </w:r>
          </w:p>
        </w:tc>
        <w:tc>
          <w:tcPr>
            <w:tcW w:type="dxa" w:w="5040"/>
          </w:tcPr>
          <w:p>
            <w:r>
              <w:rPr>
                <w:rFonts w:ascii="Calibri" w:hAnsi="Calibri"/>
                <w:sz w:val="20"/>
              </w:rPr>
              <w:t>{{intervet_signature}}</w:t>
            </w:r>
          </w:p>
        </w:tc>
      </w:tr>
      <w:tr>
        <w:tc>
          <w:tcPr>
            <w:tcW w:type="dxa" w:w="5040"/>
          </w:tcPr>
          <w:p>
            <w:r>
              <w:rPr>
                <w:rFonts w:ascii="Calibri" w:hAnsi="Calibri"/>
                <w:sz w:val="20"/>
              </w:rPr>
              <w:t>Name: {{receiver_name}}</w:t>
            </w:r>
          </w:p>
        </w:tc>
        <w:tc>
          <w:tcPr>
            <w:tcW w:type="dxa" w:w="5040"/>
          </w:tcPr>
          <w:p>
            <w:r>
              <w:rPr>
                <w:rFonts w:ascii="Calibri" w:hAnsi="Calibri"/>
                <w:sz w:val="20"/>
              </w:rPr>
              <w:t>Name: {{intervet_name}}</w:t>
            </w:r>
          </w:p>
        </w:tc>
      </w:tr>
      <w:tr>
        <w:tc>
          <w:tcPr>
            <w:tcW w:type="dxa" w:w="5040"/>
          </w:tcPr>
          <w:p>
            <w:r>
              <w:rPr>
                <w:rFonts w:ascii="Calibri" w:hAnsi="Calibri"/>
                <w:sz w:val="20"/>
              </w:rPr>
              <w:t>Title: {{receiver_title}}</w:t>
            </w:r>
          </w:p>
        </w:tc>
        <w:tc>
          <w:tcPr>
            <w:tcW w:type="dxa" w:w="5040"/>
          </w:tcPr>
          <w:p>
            <w:r>
              <w:rPr>
                <w:rFonts w:ascii="Calibri" w:hAnsi="Calibri"/>
                <w:sz w:val="20"/>
              </w:rPr>
              <w:t>Title: {{intervet_title}}</w:t>
            </w:r>
          </w:p>
        </w:tc>
      </w:tr>
      <w:tr>
        <w:tc>
          <w:tcPr>
            <w:tcW w:type="dxa" w:w="5040"/>
          </w:tcPr>
          <w:p>
            <w:r>
              <w:rPr>
                <w:rFonts w:ascii="Calibri" w:hAnsi="Calibri"/>
                <w:sz w:val="20"/>
              </w:rPr>
              <w:t>Date: {{receiver_date}}</w:t>
            </w:r>
          </w:p>
        </w:tc>
        <w:tc>
          <w:tcPr>
            <w:tcW w:type="dxa" w:w="5040"/>
          </w:tcPr>
          <w:p>
            <w:r>
              <w:rPr>
                <w:rFonts w:ascii="Calibri" w:hAnsi="Calibri"/>
                <w:sz w:val="20"/>
              </w:rPr>
              <w:t>Date: {{intervet_date}}</w:t>
            </w:r>
          </w:p>
        </w:tc>
      </w:tr>
    </w:tbl>
    <w:p/>
    <w:p>
      <w:r>
        <w:br w:type="page"/>
      </w:r>
    </w:p>
    <w:p>
      <w:pPr>
        <w:pStyle w:val="Heading1"/>
      </w:pPr>
      <w:r>
        <w:rPr>
          <w:color w:val="00857C"/>
        </w:rPr>
        <w:t>EXHIBIT A</w:t>
      </w:r>
    </w:p>
    <w:p>
      <w:pPr>
        <w:spacing w:after="120"/>
        <w:jc w:val="center"/>
      </w:pPr>
      <w:r>
        <w:rPr>
          <w:rFonts w:ascii="Calibri" w:hAnsi="Calibri"/>
          <w:b/>
          <w:sz w:val="22"/>
        </w:rPr>
        <w:t>EQUIPMENT SCHEDULE</w:t>
      </w:r>
    </w:p>
    <w:p>
      <w:pPr>
        <w:spacing w:after="240"/>
      </w:pPr>
      <w:r>
        <w:rPr>
          <w:rFonts w:ascii="Calibri" w:hAnsi="Calibri"/>
          <w:b w:val="0"/>
          <w:sz w:val="22"/>
        </w:rPr>
        <w:t>The following equipment is covered under this Agreement:</w:t>
      </w:r>
    </w:p>
    <w:p>
      <w:r>
        <w:rPr>
          <w:rFonts w:ascii="Calibri" w:hAnsi="Calibri"/>
          <w:sz w:val="22"/>
        </w:rPr>
        <w:t>{{exhibit_a_equipment}}</w:t>
      </w:r>
    </w:p>
    <w:p/>
    <w:p>
      <w:pPr>
        <w:spacing w:after="240"/>
      </w:pPr>
      <w:r>
        <w:rPr>
          <w:rFonts w:ascii="Calibri" w:hAnsi="Calibri"/>
          <w:b w:val="0"/>
          <w:sz w:val="22"/>
        </w:rPr>
        <w:t>This Exhibit A forms an integral part of the Agreement and shall be read in conjunction with all terms and conditions stated therein.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