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857C"/>
          <w:sz w:val="32"/>
        </w:rPr>
        <w:t>INTERVET INDIA PRIVATE LIMITED</w:t>
      </w:r>
    </w:p>
    <w:p>
      <w:pPr>
        <w:jc w:val="center"/>
      </w:pPr>
      <w:r>
        <w:rPr>
          <w:rFonts w:ascii="Calibri" w:hAnsi="Calibri"/>
          <w:color w:val="666666"/>
          <w:sz w:val="20"/>
        </w:rPr>
        <w:t>(A subsidiary of Merck &amp; Co., Inc.)</w:t>
      </w:r>
    </w:p>
    <w:p/>
    <w:p>
      <w:pPr>
        <w:jc w:val="center"/>
      </w:pPr>
      <w:r>
        <w:rPr>
          <w:rFonts w:ascii="Calibri" w:hAnsi="Calibri"/>
          <w:b/>
          <w:sz w:val="28"/>
        </w:rPr>
        <w:t>INDIRECT DEVICE AGREEMENT</w:t>
      </w:r>
    </w:p>
    <w:p>
      <w:pPr>
        <w:jc w:val="center"/>
      </w:pPr>
      <w:r>
        <w:rPr>
          <w:rFonts w:ascii="Calibri" w:hAnsi="Calibri"/>
          <w:color w:val="666666"/>
          <w:sz w:val="22"/>
        </w:rPr>
        <w:t>Innoject Pro — Needle-Free Injection System (via Distributor)</w:t>
      </w:r>
    </w:p>
    <w:p>
      <w:pPr>
        <w:jc w:val="center"/>
      </w:pPr>
      <w:r>
        <w:rPr>
          <w:rFonts w:ascii="Calibri" w:hAnsi="Calibri"/>
          <w:sz w:val="22"/>
        </w:rPr>
        <w:t>Date: {{date}}</w:t>
      </w:r>
    </w:p>
    <w:p/>
    <w:p>
      <w:pPr>
        <w:pStyle w:val="Heading1"/>
      </w:pPr>
      <w:r>
        <w:rPr>
          <w:color w:val="00857C"/>
        </w:rPr>
        <w:t>1. PARTIES</w:t>
      </w:r>
    </w:p>
    <w:p>
      <w:pPr>
        <w:spacing w:after="120"/>
      </w:pPr>
      <w:r>
        <w:rPr>
          <w:rFonts w:ascii="Calibri" w:hAnsi="Calibri"/>
          <w:b w:val="0"/>
          <w:sz w:val="22"/>
        </w:rPr>
        <w:t>This Device Agreement ("Agreement") is entered into as of {{date}} ("Effective Date"), by and between:</w:t>
      </w:r>
    </w:p>
    <w:p>
      <w:pPr>
        <w:spacing w:after="160"/>
      </w:pPr>
      <w:r>
        <w:rPr>
          <w:rFonts w:ascii="Calibri" w:hAnsi="Calibri"/>
          <w:b w:val="0"/>
          <w:sz w:val="22"/>
        </w:rPr>
        <w:t>Intervet India Private Limited, a company incorporated under the laws of India, having its registered office at Pune, Maharashtra (hereinafter referred to as "Intervet" or "Company"), of the FIRST PART;</w:t>
      </w:r>
    </w:p>
    <w:p>
      <w:pPr>
        <w:spacing w:after="120"/>
      </w:pPr>
      <w:r>
        <w:rPr>
          <w:rFonts w:ascii="Calibri" w:hAnsi="Calibri"/>
          <w:b w:val="0"/>
          <w:sz w:val="22"/>
        </w:rPr>
        <w:t>AND</w:t>
      </w:r>
    </w:p>
    <w:p>
      <w:pPr>
        <w:spacing w:after="160"/>
      </w:pPr>
      <w:r>
        <w:rPr>
          <w:rFonts w:ascii="Calibri" w:hAnsi="Calibri"/>
          <w:b w:val="0"/>
          <w:sz w:val="22"/>
        </w:rPr>
        <w:t>{{distributor_name}}, acting as the authorized distributor (hereinafter referred to as the "Distributor"), of the SECOND PART;</w:t>
      </w:r>
    </w:p>
    <w:p>
      <w:pPr>
        <w:spacing w:after="120"/>
      </w:pPr>
      <w:r>
        <w:rPr>
          <w:rFonts w:ascii="Calibri" w:hAnsi="Calibri"/>
          <w:b w:val="0"/>
          <w:sz w:val="22"/>
        </w:rPr>
        <w:t>AND</w:t>
      </w:r>
    </w:p>
    <w:p>
      <w:pPr>
        <w:spacing w:after="160"/>
      </w:pPr>
      <w:r>
        <w:rPr>
          <w:rFonts w:ascii="Calibri" w:hAnsi="Calibri"/>
          <w:b w:val="0"/>
          <w:sz w:val="22"/>
        </w:rPr>
        <w:t>{{customer_name}}, located at {{location}}, being the end-customer and final recipient of the Innoject Pro device(s) (hereinafter referred to as the "Customer" or "End-User"), of the THIRD PART.</w:t>
      </w:r>
    </w:p>
    <w:p>
      <w:pPr>
        <w:spacing w:after="120"/>
      </w:pPr>
      <w:r>
        <w:rPr>
          <w:rFonts w:ascii="Calibri" w:hAnsi="Calibri"/>
          <w:b w:val="0"/>
          <w:sz w:val="22"/>
        </w:rPr>
        <w:t>(Intervet, the Distributor, and the Customer are hereinafter individually referred to as "Party" and collectively as "Parties".)</w:t>
      </w:r>
    </w:p>
    <w:p>
      <w:pPr>
        <w:pStyle w:val="Heading1"/>
      </w:pPr>
      <w:r>
        <w:rPr>
          <w:color w:val="00857C"/>
        </w:rPr>
        <w:t>2. RECITALS</w:t>
      </w:r>
    </w:p>
    <w:p>
      <w:pPr>
        <w:spacing w:after="120"/>
      </w:pPr>
      <w:r>
        <w:rPr>
          <w:rFonts w:ascii="Calibri" w:hAnsi="Calibri"/>
          <w:b w:val="0"/>
          <w:sz w:val="22"/>
        </w:rPr>
        <w:t>WHEREAS, Intervet is engaged in the business of manufacturing, importing, distributing, and selling animal health products, vaccines, pharmaceutical devices, and needle-free injection systems for veterinary use;</w:t>
      </w:r>
    </w:p>
    <w:p>
      <w:pPr>
        <w:spacing w:after="120"/>
      </w:pPr>
      <w:r>
        <w:rPr>
          <w:rFonts w:ascii="Calibri" w:hAnsi="Calibri"/>
          <w:b w:val="0"/>
          <w:sz w:val="22"/>
        </w:rPr>
        <w:t>WHEREAS, Intervet has developed the Innoject Pro Needle-Free Injection System ("Innoject Pro"), a proprietary device designed for needle-free administration of vaccines and pharmaceuticals in animals;</w:t>
      </w:r>
    </w:p>
    <w:p>
      <w:pPr>
        <w:spacing w:after="120"/>
      </w:pPr>
      <w:r>
        <w:rPr>
          <w:rFonts w:ascii="Calibri" w:hAnsi="Calibri"/>
          <w:b w:val="0"/>
          <w:sz w:val="22"/>
        </w:rPr>
        <w:t>WHEREAS, {{distributor_name}} is an authorized distributor of Intervet and is engaged in the distribution and sale of Intervet products;</w:t>
      </w:r>
    </w:p>
    <w:p>
      <w:pPr>
        <w:spacing w:after="120"/>
      </w:pPr>
      <w:r>
        <w:rPr>
          <w:rFonts w:ascii="Calibri" w:hAnsi="Calibri"/>
          <w:b w:val="0"/>
          <w:sz w:val="22"/>
        </w:rPr>
        <w:t>WHEREAS, the Customer ({{customer_name}}) desires to acquire Innoject Pro device(s) through the Distributor for use in its veterinary practice;</w:t>
      </w:r>
    </w:p>
    <w:p>
      <w:pPr>
        <w:spacing w:after="120"/>
      </w:pPr>
      <w:r>
        <w:rPr>
          <w:rFonts w:ascii="Calibri" w:hAnsi="Calibri"/>
          <w:b w:val="0"/>
          <w:sz w:val="22"/>
        </w:rPr>
        <w:t>NOW, THEREFORE, in consideration of the mutual covenants contained herein, the Parties agree as follows:</w:t>
      </w:r>
    </w:p>
    <w:p>
      <w:pPr>
        <w:pStyle w:val="Heading1"/>
      </w:pPr>
      <w:r>
        <w:rPr>
          <w:color w:val="00857C"/>
        </w:rPr>
        <w:t>3. EQUIPMENT DETAILS</w:t>
      </w:r>
    </w:p>
    <w:p>
      <w:pPr>
        <w:spacing w:after="120"/>
      </w:pPr>
      <w:r>
        <w:rPr>
          <w:rFonts w:ascii="Calibri" w:hAnsi="Calibri"/>
          <w:b w:val="0"/>
          <w:sz w:val="22"/>
        </w:rPr>
        <w:t>The following Innoject Pro device(s) and accessories are covered under this Agreement and shall be delivered to the Customer ({{customer_name}}) through the Distributor ({{distributor_name}}):</w:t>
      </w:r>
    </w:p>
    <w:p>
      <w:r>
        <w:rPr>
          <w:rFonts w:ascii="Calibri" w:hAnsi="Calibri"/>
          <w:sz w:val="22"/>
        </w:rPr>
        <w:t>{{equipment_table}}</w:t>
      </w:r>
    </w:p>
    <w:p>
      <w:pPr>
        <w:pStyle w:val="Heading1"/>
      </w:pPr>
      <w:r>
        <w:rPr>
          <w:color w:val="00857C"/>
        </w:rPr>
        <w:t>4. TERMS AND CONDITIONS</w:t>
      </w:r>
    </w:p>
    <w:p>
      <w:pPr>
        <w:pStyle w:val="Heading2"/>
      </w:pPr>
      <w:r>
        <w:rPr>
          <w:color w:val="00857C"/>
        </w:rPr>
        <w:t>4.1 Distribution Channel</w:t>
      </w:r>
    </w:p>
    <w:p>
      <w:pPr>
        <w:spacing w:after="120"/>
      </w:pPr>
      <w:r>
        <w:rPr>
          <w:rFonts w:ascii="Calibri" w:hAnsi="Calibri"/>
          <w:b w:val="0"/>
          <w:sz w:val="22"/>
        </w:rPr>
        <w:t>The Innoject Pro device(s) shall be supplied by Intervet to the Distributor ({{distributor_name}}), who shall deliver the device(s) to the Customer ({{customer_name}}). The Distributor is responsible for safe and timely delivery.</w:t>
      </w:r>
    </w:p>
    <w:p>
      <w:pPr>
        <w:pStyle w:val="Heading2"/>
      </w:pPr>
      <w:r>
        <w:rPr>
          <w:color w:val="00857C"/>
        </w:rPr>
        <w:t>4.2 Device Specifications</w:t>
      </w:r>
    </w:p>
    <w:p>
      <w:pPr>
        <w:spacing w:after="120"/>
      </w:pPr>
      <w:r>
        <w:rPr>
          <w:rFonts w:ascii="Calibri" w:hAnsi="Calibri"/>
          <w:b w:val="0"/>
          <w:sz w:val="22"/>
        </w:rPr>
        <w:t>The Innoject Pro is a needle-free injection system designed for subcutaneous and intramuscular administration of vaccines and pharmaceuticals in livestock and companion animals using high-pressure technology.</w:t>
      </w:r>
    </w:p>
    <w:p>
      <w:pPr>
        <w:pStyle w:val="Heading2"/>
      </w:pPr>
      <w:r>
        <w:rPr>
          <w:color w:val="00857C"/>
        </w:rPr>
        <w:t>4.3 Ownership and Transfer</w:t>
      </w:r>
    </w:p>
    <w:p>
      <w:pPr>
        <w:spacing w:after="120"/>
      </w:pPr>
      <w:r>
        <w:rPr>
          <w:rFonts w:ascii="Calibri" w:hAnsi="Calibri"/>
          <w:b w:val="0"/>
          <w:sz w:val="22"/>
        </w:rPr>
        <w:t>Upon completion of the sale and receipt of full payment, ownership of the Innoject Pro device(s) shall transfer to the Customer ({{customer_name}}). The Customer shall be the sole and absolute owner.</w:t>
      </w:r>
    </w:p>
    <w:p>
      <w:pPr>
        <w:pStyle w:val="Heading2"/>
      </w:pPr>
      <w:r>
        <w:rPr>
          <w:color w:val="00857C"/>
        </w:rPr>
        <w:t>4.4 Training and Certification</w:t>
      </w:r>
    </w:p>
    <w:p>
      <w:pPr>
        <w:spacing w:after="120"/>
      </w:pPr>
      <w:r>
        <w:rPr>
          <w:rFonts w:ascii="Calibri" w:hAnsi="Calibri"/>
          <w:b w:val="0"/>
          <w:sz w:val="22"/>
        </w:rPr>
        <w:t>Intervet shall arrange comprehensive training for the Customer's personnel, either directly or through the Distributor, on proper use, handling, maintenance, and safety protocols of the Innoject Pro device within 30 days of delivery.</w:t>
      </w:r>
    </w:p>
    <w:p>
      <w:pPr>
        <w:pStyle w:val="Heading2"/>
      </w:pPr>
      <w:r>
        <w:rPr>
          <w:color w:val="00857C"/>
        </w:rPr>
        <w:t>4.5 Safety and Compliance</w:t>
      </w:r>
    </w:p>
    <w:p>
      <w:pPr>
        <w:spacing w:after="120"/>
      </w:pPr>
      <w:r>
        <w:rPr>
          <w:rFonts w:ascii="Calibri" w:hAnsi="Calibri"/>
          <w:b w:val="0"/>
          <w:sz w:val="22"/>
        </w:rPr>
        <w:t>The Customer shall use the Innoject Pro device only in accordance with manufacturer's instructions and applicable regulations. Use with unauthorized consumables or modifications shall void the warranty.</w:t>
      </w:r>
    </w:p>
    <w:p>
      <w:pPr>
        <w:pStyle w:val="Heading2"/>
      </w:pPr>
      <w:r>
        <w:rPr>
          <w:color w:val="00857C"/>
        </w:rPr>
        <w:t>4.6 Responsibilities of the Distributor</w:t>
      </w:r>
    </w:p>
    <w:p>
      <w:pPr>
        <w:spacing w:after="120"/>
      </w:pPr>
      <w:r>
        <w:rPr>
          <w:rFonts w:ascii="Calibri" w:hAnsi="Calibri"/>
          <w:b w:val="0"/>
          <w:sz w:val="22"/>
        </w:rPr>
        <w:t>The Distributor ({{distributor_name}}) shall: (a) facilitate delivery of device(s) to the Customer; (b) coordinate training sessions; (c) collect and remit payments; (d) maintain transaction records; and (e) report product complaints to Intervet within 24 hours.</w:t>
      </w:r>
    </w:p>
    <w:p>
      <w:pPr>
        <w:pStyle w:val="Heading2"/>
      </w:pPr>
      <w:r>
        <w:rPr>
          <w:color w:val="00857C"/>
        </w:rPr>
        <w:t>4.7 Warranty</w:t>
      </w:r>
    </w:p>
    <w:p>
      <w:pPr>
        <w:spacing w:after="120"/>
      </w:pPr>
      <w:r>
        <w:rPr>
          <w:rFonts w:ascii="Calibri" w:hAnsi="Calibri"/>
          <w:b w:val="0"/>
          <w:sz w:val="22"/>
        </w:rPr>
        <w:t>Intervet warrants the Innoject Pro device(s) shall be free from manufacturing defects for 12 months from delivery to the Customer. This warranty excludes damage from misuse or unauthorized modification.</w:t>
      </w:r>
    </w:p>
    <w:p>
      <w:pPr>
        <w:pStyle w:val="Heading2"/>
      </w:pPr>
      <w:r>
        <w:rPr>
          <w:color w:val="00857C"/>
        </w:rPr>
        <w:t>4.8 Consumables and Spare Parts</w:t>
      </w:r>
    </w:p>
    <w:p>
      <w:pPr>
        <w:spacing w:after="120"/>
      </w:pPr>
      <w:r>
        <w:rPr>
          <w:rFonts w:ascii="Calibri" w:hAnsi="Calibri"/>
          <w:b w:val="0"/>
          <w:sz w:val="22"/>
        </w:rPr>
        <w:t>The Customer shall purchase consumables and spare parts exclusively from Intervet or authorized distributors to maintain device performance and safety compliance.</w:t>
      </w:r>
    </w:p>
    <w:p>
      <w:pPr>
        <w:pStyle w:val="Heading2"/>
      </w:pPr>
      <w:r>
        <w:rPr>
          <w:color w:val="00857C"/>
        </w:rPr>
        <w:t>4.9 Payment</w:t>
      </w:r>
    </w:p>
    <w:p>
      <w:pPr>
        <w:spacing w:after="120"/>
      </w:pPr>
      <w:r>
        <w:rPr>
          <w:rFonts w:ascii="Calibri" w:hAnsi="Calibri"/>
          <w:b w:val="0"/>
          <w:sz w:val="22"/>
        </w:rPr>
        <w:t>Payment for the device(s) shall be made as per agreed commercial terms. The Distributor shall ensure all financial obligations are fulfilled within agreed timelines.</w:t>
      </w:r>
    </w:p>
    <w:p>
      <w:pPr>
        <w:pStyle w:val="Heading2"/>
      </w:pPr>
      <w:r>
        <w:rPr>
          <w:color w:val="00857C"/>
        </w:rPr>
        <w:t>4.10 Indemnification</w:t>
      </w:r>
    </w:p>
    <w:p>
      <w:pPr>
        <w:spacing w:after="120"/>
      </w:pPr>
      <w:r>
        <w:rPr>
          <w:rFonts w:ascii="Calibri" w:hAnsi="Calibri"/>
          <w:b w:val="0"/>
          <w:sz w:val="22"/>
        </w:rPr>
        <w:t>Each Party shall indemnify and hold harmless the other Parties from any claims arising from breach of this Agreement or negligent acts.</w:t>
      </w:r>
    </w:p>
    <w:p>
      <w:pPr>
        <w:pStyle w:val="Heading2"/>
      </w:pPr>
      <w:r>
        <w:rPr>
          <w:color w:val="00857C"/>
        </w:rPr>
        <w:t>4.11 Confidentiality</w:t>
      </w:r>
    </w:p>
    <w:p>
      <w:pPr>
        <w:spacing w:after="120"/>
      </w:pPr>
      <w:r>
        <w:rPr>
          <w:rFonts w:ascii="Calibri" w:hAnsi="Calibri"/>
          <w:b w:val="0"/>
          <w:sz w:val="22"/>
        </w:rPr>
        <w:t>All Parties agree to maintain confidentiality of proprietary information, including device specifications, pricing, and technical documentation, for 3 years following termination.</w:t>
      </w:r>
    </w:p>
    <w:p>
      <w:pPr>
        <w:pStyle w:val="Heading2"/>
      </w:pPr>
      <w:r>
        <w:rPr>
          <w:color w:val="00857C"/>
        </w:rPr>
        <w:t>4.12 Governing Law</w:t>
      </w:r>
    </w:p>
    <w:p>
      <w:pPr>
        <w:spacing w:after="120"/>
      </w:pPr>
      <w:r>
        <w:rPr>
          <w:rFonts w:ascii="Calibri" w:hAnsi="Calibri"/>
          <w:b w:val="0"/>
          <w:sz w:val="22"/>
        </w:rPr>
        <w:t>This Agreement shall be governed by the laws of India. Disputes shall be resolved through arbitration in Pune, Maharashtra.</w:t>
      </w:r>
    </w:p>
    <w:p>
      <w:pPr>
        <w:pStyle w:val="Heading2"/>
      </w:pPr>
      <w:r>
        <w:rPr>
          <w:color w:val="00857C"/>
        </w:rPr>
        <w:t>4.13 Entire Agreement</w:t>
      </w:r>
    </w:p>
    <w:p>
      <w:pPr>
        <w:spacing w:after="120"/>
      </w:pPr>
      <w:r>
        <w:rPr>
          <w:rFonts w:ascii="Calibri" w:hAnsi="Calibri"/>
          <w:b w:val="0"/>
          <w:sz w:val="22"/>
        </w:rPr>
        <w:t>This Agreement constitutes the entire understanding between the Parties and supersedes all prior agreements.</w:t>
      </w:r>
    </w:p>
    <w:p>
      <w:pPr>
        <w:pStyle w:val="Heading1"/>
      </w:pPr>
      <w:r>
        <w:rPr>
          <w:color w:val="00857C"/>
        </w:rPr>
        <w:t>5. DEVICE RELEASE FORM</w:t>
      </w:r>
    </w:p>
    <w:p>
      <w:pPr>
        <w:spacing w:after="120"/>
      </w:pPr>
      <w:r>
        <w:rPr>
          <w:rFonts w:ascii="Calibri" w:hAnsi="Calibri"/>
          <w:b w:val="0"/>
          <w:sz w:val="22"/>
        </w:rPr>
        <w:t>Date: {{date}}</w:t>
      </w:r>
    </w:p>
    <w:p>
      <w:pPr>
        <w:spacing w:after="120"/>
      </w:pPr>
      <w:r>
        <w:rPr>
          <w:rFonts w:ascii="Calibri" w:hAnsi="Calibri"/>
          <w:b w:val="0"/>
          <w:sz w:val="22"/>
        </w:rPr>
        <w:t>To,</w:t>
      </w:r>
    </w:p>
    <w:p>
      <w:pPr>
        <w:spacing w:after="120"/>
      </w:pPr>
      <w:r>
        <w:rPr>
          <w:rFonts w:ascii="Calibri" w:hAnsi="Calibri"/>
          <w:b w:val="0"/>
          <w:sz w:val="22"/>
        </w:rPr>
        <w:t>{{distributor_name}}</w:t>
      </w:r>
    </w:p>
    <w:p>
      <w:pPr>
        <w:spacing w:after="120"/>
      </w:pPr>
      <w:r>
        <w:rPr>
          <w:rFonts w:ascii="Calibri" w:hAnsi="Calibri"/>
          <w:b w:val="0"/>
          <w:sz w:val="22"/>
        </w:rPr>
        <w:t>{{address}}</w:t>
      </w:r>
    </w:p>
    <w:p/>
    <w:p>
      <w:pPr>
        <w:spacing w:after="120"/>
      </w:pPr>
      <w:r>
        <w:rPr>
          <w:rFonts w:ascii="Calibri" w:hAnsi="Calibri"/>
          <w:b w:val="0"/>
          <w:sz w:val="22"/>
        </w:rPr>
        <w:t>Dear Sir/Madam,</w:t>
      </w:r>
    </w:p>
    <w:p>
      <w:pPr>
        <w:spacing w:after="120"/>
      </w:pPr>
      <w:r>
        <w:rPr>
          <w:rFonts w:ascii="Calibri" w:hAnsi="Calibri"/>
          <w:b w:val="0"/>
          <w:sz w:val="22"/>
        </w:rPr>
        <w:t>We hereby confirm the release and delivery of the Innoject Pro device(s) as detailed in this Agreement, for onward delivery to the Customer ({{customer_name}}) at {{location}}. Please acknowledge receipt by signing below.</w:t>
      </w:r>
    </w:p>
    <w:p>
      <w:pPr>
        <w:pStyle w:val="Heading2"/>
      </w:pPr>
      <w:r>
        <w:rPr>
          <w:color w:val="00857C"/>
        </w:rPr>
        <w:t>INTERNAL APPROVAL</w:t>
      </w:r>
    </w:p>
    <w:tbl>
      <w:tblPr>
        <w:tblStyle w:val="TableGrid"/>
        <w:tblW w:type="auto" w:w="0"/>
        <w:jc w:val="center"/>
        <w:tblLook w:firstColumn="1" w:firstRow="1" w:lastColumn="0" w:lastRow="0" w:noHBand="0" w:noVBand="1" w:val="04A0"/>
      </w:tblPr>
      <w:tblGrid>
        <w:gridCol w:w="4320"/>
        <w:gridCol w:w="4320"/>
      </w:tblGrid>
      <w:tr>
        <w:tc>
          <w:tcPr>
            <w:tcW w:type="dxa" w:w="4320"/>
            <w:shd w:fill="E6F3F2"/>
          </w:tcPr>
          <w:p>
            <w:r>
              <w:rPr>
                <w:rFonts w:ascii="Calibri" w:hAnsi="Calibri"/>
                <w:b/>
                <w:sz w:val="20"/>
              </w:rPr>
              <w:t>Role</w:t>
            </w:r>
          </w:p>
        </w:tc>
        <w:tc>
          <w:tcPr>
            <w:tcW w:type="dxa" w:w="4320"/>
            <w:shd w:fill="E6F3F2"/>
          </w:tcPr>
          <w:p>
            <w:r>
              <w:rPr>
                <w:rFonts w:ascii="Calibri" w:hAnsi="Calibri"/>
                <w:b/>
                <w:sz w:val="20"/>
              </w:rPr>
              <w:t>Name and Date</w:t>
            </w:r>
          </w:p>
        </w:tc>
      </w:tr>
      <w:tr>
        <w:tc>
          <w:tcPr>
            <w:tcW w:type="dxa" w:w="4320"/>
          </w:tcPr>
          <w:p>
            <w:r>
              <w:rPr>
                <w:rFonts w:ascii="Calibri" w:hAnsi="Calibri"/>
                <w:sz w:val="20"/>
              </w:rPr>
              <w:t>Initiator</w:t>
            </w:r>
          </w:p>
        </w:tc>
        <w:tc>
          <w:tcPr>
            <w:tcW w:type="dxa" w:w="4320"/>
          </w:tcPr>
          <w:p>
            <w:r>
              <w:rPr>
                <w:rFonts w:ascii="Calibri" w:hAnsi="Calibri"/>
                <w:sz w:val="20"/>
              </w:rPr>
              <w:t>{{initiator_name_and_date}}</w:t>
            </w:r>
          </w:p>
        </w:tc>
      </w:tr>
      <w:tr>
        <w:tc>
          <w:tcPr>
            <w:tcW w:type="dxa" w:w="4320"/>
          </w:tcPr>
          <w:p>
            <w:r>
              <w:rPr>
                <w:rFonts w:ascii="Calibri" w:hAnsi="Calibri"/>
                <w:sz w:val="20"/>
              </w:rPr>
              <w:t>Manager</w:t>
            </w:r>
          </w:p>
        </w:tc>
        <w:tc>
          <w:tcPr>
            <w:tcW w:type="dxa" w:w="4320"/>
          </w:tcPr>
          <w:p>
            <w:r>
              <w:rPr>
                <w:rFonts w:ascii="Calibri" w:hAnsi="Calibri"/>
                <w:sz w:val="20"/>
              </w:rPr>
              <w:t>{{manager_name_and_date}}</w:t>
            </w:r>
          </w:p>
        </w:tc>
      </w:tr>
    </w:tbl>
    <w:p/>
    <w:p>
      <w:pPr>
        <w:pStyle w:val="Heading2"/>
      </w:pPr>
      <w:r>
        <w:rPr>
          <w:color w:val="00857C"/>
        </w:rPr>
        <w:t>SIGNATURES</w:t>
      </w:r>
    </w:p>
    <w:p>
      <w:pPr>
        <w:spacing w:after="240"/>
      </w:pPr>
      <w:r>
        <w:rPr>
          <w:rFonts w:ascii="Calibri" w:hAnsi="Calibri"/>
          <w:b w:val="0"/>
          <w:sz w:val="22"/>
        </w:rPr>
        <w:t>IN WITNESS WHEREOF, the parties hereto have executed this Agreement as of the date first written above.</w:t>
      </w:r>
    </w:p>
    <w:tbl>
      <w:tblPr>
        <w:tblStyle w:val="TableGrid"/>
        <w:tblW w:type="auto" w:w="0"/>
        <w:jc w:val="center"/>
        <w:tblLook w:firstColumn="1" w:firstRow="1" w:lastColumn="0" w:lastRow="0" w:noHBand="0" w:noVBand="1" w:val="04A0"/>
      </w:tblPr>
      <w:tblGrid>
        <w:gridCol w:w="4320"/>
        <w:gridCol w:w="4320"/>
      </w:tblGrid>
      <w:tr>
        <w:tc>
          <w:tcPr>
            <w:tcW w:type="dxa" w:w="5040"/>
            <w:shd w:fill="E6F3F2"/>
          </w:tcPr>
          <w:p>
            <w:r>
              <w:rPr>
                <w:rFonts w:ascii="Calibri" w:hAnsi="Calibri"/>
                <w:b/>
                <w:sz w:val="20"/>
              </w:rPr>
              <w:t>Customer / Receiver</w:t>
            </w:r>
          </w:p>
        </w:tc>
        <w:tc>
          <w:tcPr>
            <w:tcW w:type="dxa" w:w="5040"/>
            <w:shd w:fill="E6F3F2"/>
          </w:tcPr>
          <w:p>
            <w:r>
              <w:rPr>
                <w:rFonts w:ascii="Calibri" w:hAnsi="Calibri"/>
                <w:b/>
                <w:sz w:val="20"/>
              </w:rPr>
              <w:t>Intervet India Private Limited</w:t>
            </w:r>
          </w:p>
        </w:tc>
      </w:tr>
      <w:tr>
        <w:tc>
          <w:tcPr>
            <w:tcW w:type="dxa" w:w="5040"/>
          </w:tcPr>
          <w:p>
            <w:r>
              <w:rPr>
                <w:rFonts w:ascii="Calibri" w:hAnsi="Calibri"/>
                <w:sz w:val="20"/>
              </w:rPr>
              <w:t>Signature:</w:t>
            </w:r>
          </w:p>
        </w:tc>
        <w:tc>
          <w:tcPr>
            <w:tcW w:type="dxa" w:w="5040"/>
          </w:tcPr>
          <w:p>
            <w:r>
              <w:rPr>
                <w:rFonts w:ascii="Calibri" w:hAnsi="Calibri"/>
                <w:sz w:val="20"/>
              </w:rPr>
              <w:t>Signature:</w:t>
            </w:r>
          </w:p>
        </w:tc>
      </w:tr>
      <w:tr>
        <w:tc>
          <w:tcPr>
            <w:tcW w:type="dxa" w:w="5040"/>
          </w:tcPr>
          <w:p>
            <w:r>
              <w:rPr>
                <w:rFonts w:ascii="Calibri" w:hAnsi="Calibri"/>
                <w:sz w:val="20"/>
              </w:rPr>
              <w:t>{{customer_signature}}</w:t>
            </w:r>
          </w:p>
        </w:tc>
        <w:tc>
          <w:tcPr>
            <w:tcW w:type="dxa" w:w="5040"/>
          </w:tcPr>
          <w:p>
            <w:r>
              <w:rPr>
                <w:rFonts w:ascii="Calibri" w:hAnsi="Calibri"/>
                <w:sz w:val="20"/>
              </w:rPr>
              <w:t>{{intervet_signature}}</w:t>
            </w:r>
          </w:p>
        </w:tc>
      </w:tr>
      <w:tr>
        <w:tc>
          <w:tcPr>
            <w:tcW w:type="dxa" w:w="5040"/>
          </w:tcPr>
          <w:p>
            <w:r>
              <w:rPr>
                <w:rFonts w:ascii="Calibri" w:hAnsi="Calibri"/>
                <w:sz w:val="20"/>
              </w:rPr>
              <w:t>Name: {{receiver_name}}</w:t>
            </w:r>
          </w:p>
        </w:tc>
        <w:tc>
          <w:tcPr>
            <w:tcW w:type="dxa" w:w="5040"/>
          </w:tcPr>
          <w:p>
            <w:r>
              <w:rPr>
                <w:rFonts w:ascii="Calibri" w:hAnsi="Calibri"/>
                <w:sz w:val="20"/>
              </w:rPr>
              <w:t>Name: {{intervet_name}}</w:t>
            </w:r>
          </w:p>
        </w:tc>
      </w:tr>
      <w:tr>
        <w:tc>
          <w:tcPr>
            <w:tcW w:type="dxa" w:w="5040"/>
          </w:tcPr>
          <w:p>
            <w:r>
              <w:rPr>
                <w:rFonts w:ascii="Calibri" w:hAnsi="Calibri"/>
                <w:sz w:val="20"/>
              </w:rPr>
              <w:t>Title: {{receiver_title}}</w:t>
            </w:r>
          </w:p>
        </w:tc>
        <w:tc>
          <w:tcPr>
            <w:tcW w:type="dxa" w:w="5040"/>
          </w:tcPr>
          <w:p>
            <w:r>
              <w:rPr>
                <w:rFonts w:ascii="Calibri" w:hAnsi="Calibri"/>
                <w:sz w:val="20"/>
              </w:rPr>
              <w:t>Title: {{intervet_title}}</w:t>
            </w:r>
          </w:p>
        </w:tc>
      </w:tr>
      <w:tr>
        <w:tc>
          <w:tcPr>
            <w:tcW w:type="dxa" w:w="5040"/>
          </w:tcPr>
          <w:p>
            <w:r>
              <w:rPr>
                <w:rFonts w:ascii="Calibri" w:hAnsi="Calibri"/>
                <w:sz w:val="20"/>
              </w:rPr>
              <w:t>Date: {{receiver_date}}</w:t>
            </w:r>
          </w:p>
        </w:tc>
        <w:tc>
          <w:tcPr>
            <w:tcW w:type="dxa" w:w="5040"/>
          </w:tcPr>
          <w:p>
            <w:r>
              <w:rPr>
                <w:rFonts w:ascii="Calibri" w:hAnsi="Calibri"/>
                <w:sz w:val="20"/>
              </w:rPr>
              <w:t>Date: {{intervet_date}}</w:t>
            </w:r>
          </w:p>
        </w:tc>
      </w:tr>
    </w:tbl>
    <w:p/>
    <w:p>
      <w:r>
        <w:br w:type="page"/>
      </w:r>
    </w:p>
    <w:p>
      <w:pPr>
        <w:pStyle w:val="Heading1"/>
      </w:pPr>
      <w:r>
        <w:rPr>
          <w:color w:val="00857C"/>
        </w:rPr>
        <w:t>EXHIBIT A</w:t>
      </w:r>
    </w:p>
    <w:p>
      <w:pPr>
        <w:spacing w:after="120"/>
        <w:jc w:val="center"/>
      </w:pPr>
      <w:r>
        <w:rPr>
          <w:rFonts w:ascii="Calibri" w:hAnsi="Calibri"/>
          <w:b/>
          <w:sz w:val="22"/>
        </w:rPr>
        <w:t>EQUIPMENT SCHEDULE</w:t>
      </w:r>
    </w:p>
    <w:p>
      <w:pPr>
        <w:spacing w:after="240"/>
      </w:pPr>
      <w:r>
        <w:rPr>
          <w:rFonts w:ascii="Calibri" w:hAnsi="Calibri"/>
          <w:b w:val="0"/>
          <w:sz w:val="22"/>
        </w:rPr>
        <w:t>The following equipment is covered under this Agreement:</w:t>
      </w:r>
    </w:p>
    <w:p>
      <w:r>
        <w:rPr>
          <w:rFonts w:ascii="Calibri" w:hAnsi="Calibri"/>
          <w:sz w:val="22"/>
        </w:rPr>
        <w:t>{{exhibit_a_equipment}}</w:t>
      </w:r>
    </w:p>
    <w:p/>
    <w:p>
      <w:pPr>
        <w:spacing w:after="240"/>
      </w:pPr>
      <w:r>
        <w:rPr>
          <w:rFonts w:ascii="Calibri" w:hAnsi="Calibri"/>
          <w:b w:val="0"/>
          <w:sz w:val="22"/>
        </w:rPr>
        <w:t>This Exhibit A forms an integral part of the Agreement and shall be read in conjunction with all terms and conditions stated therein.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