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1AAE" w:rsidRDefault="00D64542">
      <w:pPr>
        <w:spacing w:line="25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A</w:t>
      </w:r>
    </w:p>
    <w:p w14:paraId="00000002" w14:textId="77777777" w:rsidR="00441AAE" w:rsidRDefault="00D64542">
      <w:pPr>
        <w:spacing w:after="160" w:line="25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CRITERIOS PARA CALIFICAR LAS GUÍAS ESTATALES</w:t>
      </w:r>
    </w:p>
    <w:p w14:paraId="6767CAB9" w14:textId="358B49A2" w:rsidR="00DB7EEF" w:rsidRDefault="00DB7EEF">
      <w:pPr>
        <w:spacing w:after="160" w:line="256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GUIA ESTATAL: SAN LUIS POTOSÍ</w:t>
      </w:r>
    </w:p>
    <w:p w14:paraId="00000003" w14:textId="77777777" w:rsidR="00441AAE" w:rsidRDefault="00D64542">
      <w:pPr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dividen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rubros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calificar</w:t>
      </w:r>
      <w:proofErr w:type="spellEnd"/>
    </w:p>
    <w:p w14:paraId="00000004" w14:textId="77777777" w:rsidR="00441AAE" w:rsidRDefault="00D64542">
      <w:pPr>
        <w:spacing w:line="256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Marco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Jurídico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(1 punto para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rubro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5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jurídico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definida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 PUNTO</w:t>
      </w:r>
    </w:p>
    <w:p w14:paraId="00000007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jurídico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desordenada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 PUNTOS</w:t>
      </w:r>
    </w:p>
    <w:p w14:paraId="00000008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Accesibilidad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fácil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acceder 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necesaria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llevarla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 PUNTO</w:t>
      </w:r>
    </w:p>
    <w:p w14:paraId="0000000A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complicado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acceder 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0 PUNTOS</w:t>
      </w:r>
    </w:p>
    <w:p w14:paraId="0000000B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encargada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específica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dónde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 PUNTO</w:t>
      </w:r>
    </w:p>
    <w:p w14:paraId="0000000D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específica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ambiental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dónde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0 PUNTOS</w:t>
      </w:r>
    </w:p>
    <w:p w14:paraId="0000000E" w14:textId="77777777" w:rsidR="00441AAE" w:rsidRDefault="00D64542">
      <w:pPr>
        <w:spacing w:line="256" w:lineRule="auto"/>
        <w:ind w:left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441AAE" w:rsidRDefault="00D64542">
      <w:pPr>
        <w:spacing w:line="256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técnicos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(1 punto para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rubro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10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Zona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Salvaguarda</w:t>
      </w:r>
      <w:proofErr w:type="spellEnd"/>
    </w:p>
    <w:p w14:paraId="00000011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parámetros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Zona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Zona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Amortiguamiento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1 PUNTO</w:t>
      </w:r>
    </w:p>
    <w:p w14:paraId="00000012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ningún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Zona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Salvaguarda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0 PUNTOS</w:t>
      </w:r>
    </w:p>
    <w:p w14:paraId="00000013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Sugiere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metodologías</w:t>
      </w:r>
      <w:proofErr w:type="spellEnd"/>
    </w:p>
    <w:p w14:paraId="00000014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metodologías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recomendadas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Análisis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 PUNTO</w:t>
      </w:r>
    </w:p>
    <w:p w14:paraId="00000015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recomienda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0 PUNTOS</w:t>
      </w:r>
    </w:p>
    <w:p w14:paraId="00000016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Sugiere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paquetería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(Software)</w:t>
      </w:r>
    </w:p>
    <w:p w14:paraId="00000017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Sugiere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paquetería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obtención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afectación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Análisis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Consecuencias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PUNTO</w:t>
      </w:r>
    </w:p>
    <w:p w14:paraId="00000018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recomienda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paquetería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específica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 PUNTOS</w:t>
      </w:r>
    </w:p>
    <w:p w14:paraId="00000019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Nivel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detalle</w:t>
      </w:r>
      <w:proofErr w:type="spellEnd"/>
    </w:p>
    <w:p w14:paraId="0000001A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capítulo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Ambiental.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distintas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y/o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cálculos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 PUNTO</w:t>
      </w:r>
    </w:p>
    <w:p w14:paraId="0000001B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capítulo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Ambiental.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 PUNTOS</w:t>
      </w:r>
    </w:p>
    <w:p w14:paraId="0000001C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cuantitativas</w:t>
      </w:r>
      <w:proofErr w:type="spellEnd"/>
    </w:p>
    <w:p w14:paraId="0000001D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Sugiere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y/o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cuantificar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y/o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consecuencias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1 PUNTO</w:t>
      </w:r>
    </w:p>
    <w:p w14:paraId="0000001E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cuantitativas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0 PUNTOS</w:t>
      </w:r>
    </w:p>
    <w:p w14:paraId="0000001F" w14:textId="77777777" w:rsidR="00441AAE" w:rsidRDefault="00D64542">
      <w:pPr>
        <w:spacing w:line="25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0" w14:textId="77777777" w:rsidR="00441AAE" w:rsidRDefault="00D64542">
      <w:pPr>
        <w:spacing w:line="256" w:lineRule="auto"/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1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Cálculos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Probabilidad</w:t>
      </w:r>
      <w:proofErr w:type="spellEnd"/>
    </w:p>
    <w:p w14:paraId="00000022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Indica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algún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método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cálculo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probabilidades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(PROBIT) y/o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llevarlo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1 PUNTO</w:t>
      </w:r>
    </w:p>
    <w:p w14:paraId="00000023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cálculos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 PUNTOS</w:t>
      </w:r>
    </w:p>
    <w:p w14:paraId="00000024" w14:textId="77777777" w:rsidR="00441AAE" w:rsidRDefault="00D64542">
      <w:pPr>
        <w:spacing w:line="256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(0.5 puntos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rubro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25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Estatal</w:t>
      </w:r>
      <w:proofErr w:type="spellEnd"/>
    </w:p>
    <w:p w14:paraId="00000026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específica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Estado. </w:t>
      </w:r>
      <w:proofErr w:type="gram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0.5  PUNTOS</w:t>
      </w:r>
      <w:proofErr w:type="gramEnd"/>
    </w:p>
    <w:p w14:paraId="00000027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y/o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Federal. 0 PUNTOS</w:t>
      </w:r>
    </w:p>
    <w:p w14:paraId="00000028" w14:textId="77777777" w:rsidR="00441AAE" w:rsidRDefault="00D64542">
      <w:pPr>
        <w:spacing w:line="256" w:lineRule="auto"/>
        <w:ind w:left="21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Formatos</w:t>
      </w:r>
      <w:proofErr w:type="spellEnd"/>
    </w:p>
    <w:p w14:paraId="00000029" w14:textId="77777777" w:rsidR="00441AAE" w:rsidRDefault="00D64542">
      <w:pPr>
        <w:spacing w:line="256" w:lineRule="auto"/>
        <w:ind w:left="5040" w:hanging="252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homogeneizar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Ambiental.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0.5 PUNTOS</w:t>
      </w:r>
    </w:p>
    <w:p w14:paraId="0000002A" w14:textId="77777777" w:rsidR="00441AAE" w:rsidRDefault="00D64542">
      <w:pPr>
        <w:spacing w:after="160" w:line="256" w:lineRule="auto"/>
        <w:ind w:left="5040" w:hanging="25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ii.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0 PUNTOS</w:t>
      </w:r>
    </w:p>
    <w:p w14:paraId="0000002B" w14:textId="77777777" w:rsidR="00441AAE" w:rsidRDefault="00441AAE">
      <w:pPr>
        <w:spacing w:after="160" w:line="256" w:lineRule="auto"/>
        <w:jc w:val="both"/>
        <w:rPr>
          <w:rFonts w:ascii="Times New Roman" w:eastAsia="Times New Roman" w:hAnsi="Times New Roman" w:cs="Times New Roman"/>
        </w:rPr>
      </w:pPr>
    </w:p>
    <w:p w14:paraId="0000002C" w14:textId="77777777" w:rsidR="00441AAE" w:rsidRDefault="00441AAE">
      <w:pPr>
        <w:spacing w:after="160" w:line="256" w:lineRule="auto"/>
        <w:jc w:val="both"/>
        <w:rPr>
          <w:rFonts w:ascii="Times New Roman" w:eastAsia="Times New Roman" w:hAnsi="Times New Roman" w:cs="Times New Roman"/>
        </w:rPr>
      </w:pPr>
    </w:p>
    <w:p w14:paraId="0000002D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resultados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obtenidos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negrita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color rojo),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obtuvo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(Marco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Jurídico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un total de 2 puntos,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Técnicos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un total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  puntos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un total de 1 punto. Por lo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elaboración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Estado de San Luis Potosí,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completa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fácil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breves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instrucciones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quiénes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dirigida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instalaciones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encuentran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acuerdo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actividades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Estado de San Luis Potosí),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resaltar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puntuación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le di 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estructura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 puntos,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jurídico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vigente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solo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algunas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normas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llegan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 que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encuentra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detallado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algunos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puntos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no se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diseño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publicarla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títulos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pies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hoja que no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corresponde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ciertos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ortográficos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redacción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encuentra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estructurada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poco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entendible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E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calificación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 punto,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fácil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encontrar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 sea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fácil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 que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difícil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ERA y bajo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criterios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instalaciones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F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dependencia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encargada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trámite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Secretaría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Ecología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Ambiental (SEGAM),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https://slp.gob.mx/segam/Paginas/Tr%C3%A1mites.aspx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descargar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trámites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requieran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0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Siguiendo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aspectos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técnicos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parámetros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determinar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Zona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Zona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Amortiguamiento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parámetros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toxicidad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inflamabilidad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explosividad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diferentes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recomendadas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Análisis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encuentran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Check list, what if,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Índice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Análisis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Modo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Efecto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(FMEA), HAZOP, Árbol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Árbol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(FTA).</w:t>
      </w:r>
    </w:p>
    <w:p w14:paraId="00000031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softwares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paquetería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para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obtención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radios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afectación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Análisis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Consecuencias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dentro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agregar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2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 se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capítulo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Ambiental,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ciertos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capítulos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inconclusa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solo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encontrar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correspondiente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ese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capítulo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mejor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desglosar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capítulo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3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metodologías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cuantificar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y/o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consecuencias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cómo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tienen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breve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descripción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algunas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4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rubro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cálculos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incluye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ninguno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ninguno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ayuda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explicación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alguno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5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FInalmente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apartado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específica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Estado de San Luis Potosí,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 que se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puntuación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0.5,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consultar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siguiente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https://slp.gob.mx/segam/Documentos%20compartidos/GU%C3%8DAS/G03.pdf</w:t>
        </w:r>
      </w:hyperlink>
    </w:p>
    <w:p w14:paraId="00000036" w14:textId="77777777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facilitar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homogeneizar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Ambiental,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28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anexo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carta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llenada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empresa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estudio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anexo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muestra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hoja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seguridad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424B4" w14:textId="77777777" w:rsidR="00DB7EEF" w:rsidRDefault="00D6454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comentario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puedo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fácil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Estado de San Luis Potosí,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página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gobierno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también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estructurada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diseñada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organizada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cuenta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acerca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trámites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formatos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medio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destacar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no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encontraron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algunas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venían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especificadas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padrón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mínimo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máximo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año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publicación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guía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37" w14:textId="3B94A82A" w:rsidR="00441AAE" w:rsidRDefault="00D64542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DB7EEF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Teniendo</w:t>
      </w:r>
      <w:proofErr w:type="spellEnd"/>
      <w:r w:rsidRPr="00DB7EE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7EEF">
        <w:rPr>
          <w:rFonts w:ascii="Times New Roman" w:eastAsia="Times New Roman" w:hAnsi="Times New Roman" w:cs="Times New Roman"/>
          <w:sz w:val="24"/>
          <w:szCs w:val="24"/>
          <w:highlight w:val="yellow"/>
        </w:rPr>
        <w:t>una</w:t>
      </w:r>
      <w:proofErr w:type="spellEnd"/>
      <w:r w:rsidRPr="00DB7EE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7EEF">
        <w:rPr>
          <w:rFonts w:ascii="Times New Roman" w:eastAsia="Times New Roman" w:hAnsi="Times New Roman" w:cs="Times New Roman"/>
          <w:sz w:val="24"/>
          <w:szCs w:val="24"/>
          <w:highlight w:val="yellow"/>
        </w:rPr>
        <w:t>calificación</w:t>
      </w:r>
      <w:proofErr w:type="spellEnd"/>
      <w:r w:rsidRPr="00DB7EEF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final de 6 puntos.</w:t>
      </w:r>
    </w:p>
    <w:sectPr w:rsidR="00441A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496F" w14:textId="77777777" w:rsidR="00D64542" w:rsidRDefault="00D64542">
      <w:pPr>
        <w:spacing w:line="240" w:lineRule="auto"/>
      </w:pPr>
      <w:r>
        <w:separator/>
      </w:r>
    </w:p>
  </w:endnote>
  <w:endnote w:type="continuationSeparator" w:id="0">
    <w:p w14:paraId="10B4A986" w14:textId="77777777" w:rsidR="00D64542" w:rsidRDefault="00D64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C726" w14:textId="77777777" w:rsidR="00D64542" w:rsidRDefault="00D64542">
      <w:pPr>
        <w:spacing w:line="240" w:lineRule="auto"/>
      </w:pPr>
      <w:r>
        <w:separator/>
      </w:r>
    </w:p>
  </w:footnote>
  <w:footnote w:type="continuationSeparator" w:id="0">
    <w:p w14:paraId="5741254A" w14:textId="77777777" w:rsidR="00D64542" w:rsidRDefault="00D6454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AE"/>
    <w:rsid w:val="00441AAE"/>
    <w:rsid w:val="00813C7D"/>
    <w:rsid w:val="009240C2"/>
    <w:rsid w:val="00D64542"/>
    <w:rsid w:val="00DB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11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B7EE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EEF"/>
  </w:style>
  <w:style w:type="paragraph" w:styleId="Piedepgina">
    <w:name w:val="footer"/>
    <w:basedOn w:val="Normal"/>
    <w:link w:val="PiedepginaCar"/>
    <w:uiPriority w:val="99"/>
    <w:unhideWhenUsed/>
    <w:rsid w:val="00DB7EE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p.gob.mx/segam/Paginas/Tr%C3%A1mites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lp.gob.mx/segam/Documentos%20compartidos/GU%C3%8DAS/G0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98EDBAE9D24F4BAE4BC99D007033D1" ma:contentTypeVersion="12" ma:contentTypeDescription="Crear nuevo documento." ma:contentTypeScope="" ma:versionID="c86a169dc5c2a36ae08fffaf968ccc2b">
  <xsd:schema xmlns:xsd="http://www.w3.org/2001/XMLSchema" xmlns:xs="http://www.w3.org/2001/XMLSchema" xmlns:p="http://schemas.microsoft.com/office/2006/metadata/properties" xmlns:ns2="a8c9d0e9-9688-4af6-8392-03b03576d3f2" xmlns:ns3="8ab0da22-2879-4a69-9574-3d9b293e0ba3" targetNamespace="http://schemas.microsoft.com/office/2006/metadata/properties" ma:root="true" ma:fieldsID="ea68400058c0f1abd6b2d4a3c8b27bb6" ns2:_="" ns3:_="">
    <xsd:import namespace="a8c9d0e9-9688-4af6-8392-03b03576d3f2"/>
    <xsd:import namespace="8ab0da22-2879-4a69-9574-3d9b293e0b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d0e9-9688-4af6-8392-03b03576d3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b0da22-2879-4a69-9574-3d9b293e0ba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ce0d67-fa54-435e-879b-ea17ac9f1768}" ma:internalName="TaxCatchAll" ma:showField="CatchAllData" ma:web="8ab0da22-2879-4a69-9574-3d9b293e0b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32871A-2D39-4F5C-8E7E-785603E367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18A44B-81A0-4A6F-A2C2-6484BEDD1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d0e9-9688-4af6-8392-03b03576d3f2"/>
    <ds:schemaRef ds:uri="8ab0da22-2879-4a69-9574-3d9b293e0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1474</Words>
  <Characters>8109</Characters>
  <Application>Microsoft Office Word</Application>
  <DocSecurity>0</DocSecurity>
  <Lines>67</Lines>
  <Paragraphs>19</Paragraphs>
  <ScaleCrop>false</ScaleCrop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SAMMYS MANUEL GOROCICA EMBRIZ</cp:lastModifiedBy>
  <cp:revision>2</cp:revision>
  <dcterms:created xsi:type="dcterms:W3CDTF">2023-05-12T00:33:00Z</dcterms:created>
  <dcterms:modified xsi:type="dcterms:W3CDTF">2023-05-12T00:33:00Z</dcterms:modified>
</cp:coreProperties>
</file>