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3517E03"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Despite these </w:t>
      </w:r>
      <w:r w:rsidR="00AF30B8" w:rsidRPr="0071235E">
        <w:rPr>
          <w:rFonts w:ascii="Times New Roman" w:hAnsi="Times New Roman" w:cs="Times New Roman"/>
          <w:sz w:val="24"/>
          <w:szCs w:val="24"/>
        </w:rPr>
        <w:t>recognizable</w:t>
      </w:r>
      <w:r w:rsidR="002D70FF" w:rsidRPr="0071235E">
        <w:rPr>
          <w:rFonts w:ascii="Times New Roman" w:hAnsi="Times New Roman" w:cs="Times New Roman"/>
          <w:sz w:val="24"/>
          <w:szCs w:val="24"/>
        </w:rPr>
        <w:t xml:space="preserve"> associations, 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both academic (e.g., Ekman’s Facial Action Coding System</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vertAlign w:val="superscript"/>
        </w:rPr>
        <w:t>3</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and commercial (e.g., Apple Watch, Fitbit)</w:t>
      </w:r>
      <w:r w:rsidR="00AF30B8" w:rsidRPr="0071235E">
        <w:rPr>
          <w:rFonts w:ascii="Times New Roman" w:hAnsi="Times New Roman" w:cs="Times New Roman"/>
          <w:sz w:val="24"/>
          <w:szCs w:val="24"/>
        </w:rPr>
        <w:t xml:space="preserve"> platforms</w:t>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Meanwhile, large language models </w:t>
      </w:r>
      <w:r w:rsidR="00DD106B" w:rsidRPr="0071235E">
        <w:rPr>
          <w:rFonts w:ascii="Times New Roman" w:hAnsi="Times New Roman" w:cs="Times New Roman"/>
          <w:sz w:val="24"/>
          <w:szCs w:val="24"/>
        </w:rPr>
        <w:t>accurately</w:t>
      </w:r>
      <w:r w:rsidR="002D70FF" w:rsidRPr="0071235E">
        <w:rPr>
          <w:rFonts w:ascii="Times New Roman" w:hAnsi="Times New Roman" w:cs="Times New Roman"/>
          <w:sz w:val="24"/>
          <w:szCs w:val="24"/>
        </w:rPr>
        <w:t xml:space="preserve"> recognize emotions </w:t>
      </w:r>
      <w:r w:rsidR="00DD106B" w:rsidRPr="0071235E">
        <w:rPr>
          <w:rFonts w:ascii="Times New Roman" w:hAnsi="Times New Roman" w:cs="Times New Roman"/>
          <w:sz w:val="24"/>
          <w:szCs w:val="24"/>
        </w:rPr>
        <w:t>embedded within</w:t>
      </w:r>
      <w:r w:rsidR="002D70FF" w:rsidRPr="0071235E">
        <w:rPr>
          <w:rFonts w:ascii="Times New Roman" w:hAnsi="Times New Roman" w:cs="Times New Roman"/>
          <w:sz w:val="24"/>
          <w:szCs w:val="24"/>
        </w:rPr>
        <w:t xml:space="preserve"> text</w:t>
      </w:r>
      <w:r w:rsidR="00DD106B" w:rsidRPr="0071235E">
        <w:rPr>
          <w:rFonts w:ascii="Times New Roman" w:hAnsi="Times New Roman" w:cs="Times New Roman"/>
          <w:sz w:val="24"/>
          <w:szCs w:val="24"/>
        </w:rPr>
        <w:t xml:space="preserve"> thanks to their m</w:t>
      </w:r>
      <w:r w:rsidR="002D70FF" w:rsidRPr="0071235E">
        <w:rPr>
          <w:rFonts w:ascii="Times New Roman" w:hAnsi="Times New Roman" w:cs="Times New Roman"/>
          <w:sz w:val="24"/>
          <w:szCs w:val="24"/>
        </w:rPr>
        <w:t>assive, curated datasets and robust transformer architectures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4</w:t>
      </w:r>
      <w:r w:rsidR="00DD106B" w:rsidRPr="0071235E">
        <w:rPr>
          <w:rFonts w:ascii="Times New Roman" w:hAnsi="Times New Roman" w:cs="Times New Roman"/>
          <w:sz w:val="24"/>
          <w:szCs w:val="24"/>
        </w:rPr>
        <w:fldChar w:fldCharType="end"/>
      </w:r>
      <w:r w:rsidR="002D70FF" w:rsidRPr="0071235E">
        <w:rPr>
          <w:rFonts w:ascii="Times New Roman" w:hAnsi="Times New Roman" w:cs="Times New Roman"/>
          <w:sz w:val="24"/>
          <w:szCs w:val="24"/>
        </w:rPr>
        <w:t>. Unfortunately, these transformer-based methods</w:t>
      </w:r>
      <w:r w:rsidR="00AF30B8" w:rsidRPr="0071235E">
        <w:rPr>
          <w:rFonts w:ascii="Times New Roman" w:hAnsi="Times New Roman" w:cs="Times New Roman"/>
          <w:sz w:val="24"/>
          <w:szCs w:val="24"/>
        </w:rPr>
        <w:t xml:space="preserve"> are </w:t>
      </w:r>
      <w:r w:rsidR="002D70FF" w:rsidRPr="0071235E">
        <w:rPr>
          <w:rFonts w:ascii="Times New Roman" w:hAnsi="Times New Roman" w:cs="Times New Roman"/>
          <w:sz w:val="24"/>
          <w:szCs w:val="24"/>
        </w:rPr>
        <w:t xml:space="preserve">designed for semantic correlations </w:t>
      </w:r>
      <w:r w:rsidR="001E29AB">
        <w:rPr>
          <w:rFonts w:ascii="Times New Roman" w:hAnsi="Times New Roman" w:cs="Times New Roman"/>
          <w:sz w:val="24"/>
          <w:szCs w:val="24"/>
        </w:rPr>
        <w:t>over</w:t>
      </w:r>
      <w:r w:rsidR="002D70FF" w:rsidRPr="0071235E">
        <w:rPr>
          <w:rFonts w:ascii="Times New Roman" w:hAnsi="Times New Roman" w:cs="Times New Roman"/>
          <w:sz w:val="24"/>
          <w:szCs w:val="24"/>
        </w:rPr>
        <w:t xml:space="preserve"> temporal trends</w:t>
      </w:r>
      <w:r w:rsidR="00AF30B8" w:rsidRPr="0071235E">
        <w:rPr>
          <w:rFonts w:ascii="Times New Roman" w:hAnsi="Times New Roman" w:cs="Times New Roman"/>
          <w:sz w:val="24"/>
          <w:szCs w:val="24"/>
        </w:rPr>
        <w:t xml:space="preserve">, making it difficult to </w:t>
      </w:r>
      <w:r w:rsidR="00A751BF">
        <w:t>explain</w:t>
      </w:r>
      <w:r w:rsidR="00AF30B8"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time-series </w:t>
      </w:r>
      <w:r w:rsidR="00AF30B8" w:rsidRPr="0071235E">
        <w:rPr>
          <w:rFonts w:ascii="Times New Roman" w:hAnsi="Times New Roman" w:cs="Times New Roman"/>
          <w:sz w:val="24"/>
          <w:szCs w:val="24"/>
        </w:rPr>
        <w:t>patterns</w:t>
      </w:r>
      <w:r w:rsidR="002D70FF" w:rsidRPr="0071235E">
        <w:rPr>
          <w:rFonts w:ascii="Times New Roman" w:hAnsi="Times New Roman" w:cs="Times New Roman"/>
          <w:sz w:val="24"/>
          <w:szCs w:val="24"/>
        </w:rPr>
        <w:fldChar w:fldCharType="begin"/>
      </w:r>
      <w:r w:rsidR="002D70FF" w:rsidRPr="0071235E">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71235E">
        <w:rPr>
          <w:rFonts w:ascii="Times New Roman" w:hAnsi="Times New Roman" w:cs="Times New Roman"/>
          <w:sz w:val="24"/>
          <w:szCs w:val="24"/>
        </w:rPr>
        <w:fldChar w:fldCharType="separate"/>
      </w:r>
      <w:r w:rsidR="002D70FF" w:rsidRPr="0071235E">
        <w:rPr>
          <w:rFonts w:ascii="Times New Roman" w:hAnsi="Times New Roman" w:cs="Times New Roman"/>
          <w:kern w:val="0"/>
          <w:sz w:val="24"/>
          <w:vertAlign w:val="superscript"/>
        </w:rPr>
        <w:t>5</w:t>
      </w:r>
      <w:r w:rsidR="002D70FF" w:rsidRPr="0071235E">
        <w:rPr>
          <w:rFonts w:ascii="Times New Roman" w:hAnsi="Times New Roman" w:cs="Times New Roman"/>
          <w:sz w:val="24"/>
          <w:szCs w:val="24"/>
        </w:rPr>
        <w:fldChar w:fldCharType="end"/>
      </w:r>
      <w:r w:rsidR="002D70FF" w:rsidRPr="0071235E">
        <w:rPr>
          <w:rFonts w:ascii="Times New Roman" w:hAnsi="Times New Roman" w:cs="Times New Roman"/>
          <w:sz w:val="24"/>
          <w:szCs w:val="24"/>
        </w:rPr>
        <w:t>.</w:t>
      </w:r>
      <w:r w:rsidR="00DD106B" w:rsidRPr="0071235E">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Attaining artificial general emotional intelligence will require new foundational architectures explicitly designed to handle time-dependent biomarkers that react to a broad spectrum of stressors and emotion labels, as demonstrated by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3853B4A7" w14:textId="36A54B09" w:rsidR="00DD106B" w:rsidRPr="00DD106B" w:rsidRDefault="00B85FD6" w:rsidP="00B85FD6">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regarded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990B7A" w:rsidRPr="0071235E">
        <w:rPr>
          <w:rFonts w:ascii="Times New Roman" w:hAnsi="Times New Roman" w:cs="Times New Roman"/>
          <w:sz w:val="24"/>
          <w:szCs w:val="24"/>
        </w:rPr>
        <w:t xml:space="preserve"> </w:t>
      </w:r>
      <w:r>
        <w:rPr>
          <w:rFonts w:ascii="Times New Roman" w:hAnsi="Times New Roman" w:cs="Times New Roman"/>
          <w:sz w:val="24"/>
          <w:szCs w:val="24"/>
        </w:rPr>
        <w:t>as</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 xml:space="preserve">Spielberger </w:t>
      </w:r>
      <w:r w:rsidR="00484BDA">
        <w:rPr>
          <w:rFonts w:ascii="Times New Roman" w:hAnsi="Times New Roman" w:cs="Times New Roman"/>
          <w:sz w:val="24"/>
          <w:szCs w:val="24"/>
        </w:rPr>
        <w:t xml:space="preserve">measured these emotions </w:t>
      </w:r>
      <w:r w:rsidR="00A811C6" w:rsidRPr="0071235E">
        <w:rPr>
          <w:rFonts w:ascii="Times New Roman" w:hAnsi="Times New Roman" w:cs="Times New Roman"/>
          <w:sz w:val="24"/>
          <w:szCs w:val="24"/>
        </w:rPr>
        <w:t>within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9–12</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In practice, quantifying </w:t>
      </w:r>
      <w:r w:rsidR="00484BDA">
        <w:rPr>
          <w:rFonts w:ascii="Times New Roman" w:hAnsi="Times New Roman" w:cs="Times New Roman"/>
          <w:sz w:val="24"/>
          <w:szCs w:val="24"/>
        </w:rPr>
        <w:t xml:space="preserve">any culturally </w:t>
      </w:r>
      <w:r w:rsidR="0071235E" w:rsidRPr="0071235E">
        <w:rPr>
          <w:rFonts w:ascii="Times New Roman" w:hAnsi="Times New Roman" w:cs="Times New Roman"/>
          <w:sz w:val="24"/>
          <w:szCs w:val="24"/>
        </w:rPr>
        <w:t xml:space="preserve">subjective feeling </w:t>
      </w:r>
      <w:r w:rsidR="00484BDA">
        <w:rPr>
          <w:rFonts w:ascii="Times New Roman" w:hAnsi="Times New Roman" w:cs="Times New Roman"/>
          <w:sz w:val="24"/>
          <w:szCs w:val="24"/>
        </w:rPr>
        <w:t xml:space="preserve">on this exam </w:t>
      </w:r>
      <w:r w:rsidR="0071235E" w:rsidRPr="0071235E">
        <w:rPr>
          <w:rFonts w:ascii="Times New Roman" w:hAnsi="Times New Roman" w:cs="Times New Roman"/>
          <w:sz w:val="24"/>
          <w:szCs w:val="24"/>
        </w:rPr>
        <w:t xml:space="preserve">is a </w:t>
      </w:r>
      <w:r w:rsidR="00484BDA">
        <w:rPr>
          <w:rFonts w:ascii="Times New Roman" w:hAnsi="Times New Roman" w:cs="Times New Roman"/>
          <w:sz w:val="24"/>
          <w:szCs w:val="24"/>
        </w:rPr>
        <w:t>complex undertaking that</w:t>
      </w:r>
      <w:r w:rsidR="0071235E" w:rsidRPr="0071235E">
        <w:rPr>
          <w:rFonts w:ascii="Times New Roman" w:hAnsi="Times New Roman" w:cs="Times New Roman"/>
          <w:sz w:val="24"/>
          <w:szCs w:val="24"/>
        </w:rPr>
        <w:t xml:space="preserve"> requires </w:t>
      </w:r>
      <w:r w:rsidR="00484BDA">
        <w:rPr>
          <w:rFonts w:ascii="Times New Roman" w:hAnsi="Times New Roman" w:cs="Times New Roman"/>
          <w:sz w:val="24"/>
          <w:szCs w:val="24"/>
        </w:rPr>
        <w:t xml:space="preserve">a mass </w:t>
      </w:r>
      <w:r w:rsidR="00484BDA" w:rsidRPr="0071235E">
        <w:rPr>
          <w:rFonts w:ascii="Times New Roman" w:hAnsi="Times New Roman" w:cs="Times New Roman"/>
          <w:sz w:val="24"/>
          <w:szCs w:val="24"/>
        </w:rPr>
        <w:t>surveying</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 xml:space="preserve">of </w:t>
      </w:r>
      <w:r w:rsidR="0071235E" w:rsidRPr="0071235E">
        <w:rPr>
          <w:rFonts w:ascii="Times New Roman" w:hAnsi="Times New Roman" w:cs="Times New Roman"/>
          <w:sz w:val="24"/>
          <w:szCs w:val="24"/>
        </w:rPr>
        <w:t xml:space="preserve">correlated emotions across different ethnolinguistic </w:t>
      </w:r>
      <w:r w:rsidR="00484BDA">
        <w:rPr>
          <w:rFonts w:ascii="Times New Roman" w:hAnsi="Times New Roman" w:cs="Times New Roman"/>
          <w:sz w:val="24"/>
          <w:szCs w:val="24"/>
        </w:rPr>
        <w:t>groups</w:t>
      </w:r>
      <w:r w:rsidR="00A751BF">
        <w:rPr>
          <w:rFonts w:ascii="Times New Roman" w:hAnsi="Times New Roman" w:cs="Times New Roman"/>
          <w:sz w:val="24"/>
          <w:szCs w:val="24"/>
        </w:rPr>
        <w:t xml:space="preserve"> to</w:t>
      </w:r>
      <w:r w:rsidR="0071235E">
        <w:rPr>
          <w:rFonts w:ascii="Times New Roman" w:hAnsi="Times New Roman" w:cs="Times New Roman"/>
          <w:sz w:val="24"/>
          <w:szCs w:val="24"/>
        </w:rPr>
        <w:t xml:space="preserve"> </w:t>
      </w:r>
      <w:r w:rsidR="0071235E" w:rsidRPr="0071235E">
        <w:rPr>
          <w:rFonts w:ascii="Times New Roman" w:hAnsi="Times New Roman" w:cs="Times New Roman"/>
          <w:sz w:val="24"/>
          <w:szCs w:val="24"/>
        </w:rPr>
        <w:t xml:space="preserve">smoothen out </w:t>
      </w:r>
      <w:r w:rsidR="0071235E">
        <w:rPr>
          <w:rFonts w:ascii="Times New Roman" w:hAnsi="Times New Roman" w:cs="Times New Roman"/>
          <w:sz w:val="24"/>
          <w:szCs w:val="24"/>
        </w:rPr>
        <w:t>experimental</w:t>
      </w:r>
      <w:r w:rsidR="0071235E" w:rsidRPr="0071235E">
        <w:rPr>
          <w:rFonts w:ascii="Times New Roman" w:hAnsi="Times New Roman" w:cs="Times New Roman"/>
          <w:sz w:val="24"/>
          <w:szCs w:val="24"/>
        </w:rPr>
        <w:t xml:space="preserve"> variance</w:t>
      </w:r>
      <w:r w:rsidR="00A751BF">
        <w:rPr>
          <w:rFonts w:ascii="Times New Roman" w:hAnsi="Times New Roman" w:cs="Times New Roman"/>
          <w:sz w:val="24"/>
          <w:szCs w:val="24"/>
        </w:rPr>
        <w:t xml:space="preserve">. Fortunately, </w:t>
      </w:r>
      <w:r w:rsidR="0071235E">
        <w:rPr>
          <w:rFonts w:ascii="Times New Roman" w:hAnsi="Times New Roman" w:cs="Times New Roman"/>
          <w:sz w:val="24"/>
          <w:szCs w:val="24"/>
        </w:rPr>
        <w:t>Ekman found that one only needs six basic emotions</w:t>
      </w:r>
      <w:r w:rsidR="00A751BF">
        <w:rPr>
          <w:rFonts w:ascii="Times New Roman" w:hAnsi="Times New Roman" w:cs="Times New Roman"/>
          <w:sz w:val="24"/>
          <w:szCs w:val="24"/>
        </w:rPr>
        <w:t>, arguably a couple more,</w:t>
      </w:r>
      <w:r w:rsidR="0071235E">
        <w:rPr>
          <w:rFonts w:ascii="Times New Roman" w:hAnsi="Times New Roman" w:cs="Times New Roman"/>
          <w:sz w:val="24"/>
          <w:szCs w:val="24"/>
        </w:rPr>
        <w:t xml:space="preserve"> to form a basis state for any complex </w:t>
      </w:r>
      <w:r w:rsidR="00484BDA">
        <w:rPr>
          <w:rFonts w:ascii="Times New Roman" w:hAnsi="Times New Roman" w:cs="Times New Roman"/>
          <w:sz w:val="24"/>
          <w:szCs w:val="24"/>
        </w:rPr>
        <w:t>expression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A811C6" w:rsidRPr="00DD106B">
        <w:rPr>
          <w:rFonts w:ascii="Times New Roman" w:hAnsi="Times New Roman" w:cs="Times New Roman"/>
          <w:sz w:val="24"/>
          <w:szCs w:val="24"/>
        </w:rPr>
        <w:t>Ekman</w:t>
      </w:r>
      <w:r w:rsidR="00484BDA">
        <w:rPr>
          <w:rFonts w:ascii="Times New Roman" w:hAnsi="Times New Roman" w:cs="Times New Roman"/>
          <w:sz w:val="24"/>
          <w:szCs w:val="24"/>
        </w:rPr>
        <w:t xml:space="preserve"> </w:t>
      </w:r>
      <w:r w:rsidR="00A751BF">
        <w:rPr>
          <w:rFonts w:ascii="Times New Roman" w:hAnsi="Times New Roman" w:cs="Times New Roman"/>
          <w:sz w:val="24"/>
          <w:szCs w:val="24"/>
        </w:rPr>
        <w:t>further realized</w:t>
      </w:r>
      <w:r w:rsidR="00484BDA">
        <w:rPr>
          <w:rFonts w:ascii="Times New Roman" w:hAnsi="Times New Roman" w:cs="Times New Roman"/>
          <w:sz w:val="24"/>
          <w:szCs w:val="24"/>
        </w:rPr>
        <w:t xml:space="preserve"> that each basic emotion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with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A811C6" w:rsidRPr="00DD106B">
        <w:rPr>
          <w:rFonts w:ascii="Times New Roman" w:hAnsi="Times New Roman" w:cs="Times New Roman"/>
          <w:sz w:val="24"/>
          <w:szCs w:val="24"/>
        </w:rPr>
        <w:t>Matsumoto and Willingham</w:t>
      </w:r>
      <w:r w:rsidR="00A811C6">
        <w:rPr>
          <w:rFonts w:ascii="Times New Roman" w:hAnsi="Times New Roman" w:cs="Times New Roman"/>
          <w:sz w:val="24"/>
          <w:szCs w:val="24"/>
        </w:rPr>
        <w:t xml:space="preserve"> found are not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{"citationID":"P1Ebz4RD","properties":{"formattedCitation":"\\super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A811C6" w:rsidRPr="00DD106B">
        <w:rPr>
          <w:rFonts w:ascii="Times New Roman" w:hAnsi="Times New Roman" w:cs="Times New Roman"/>
          <w:sz w:val="24"/>
          <w:szCs w:val="24"/>
        </w:rPr>
        <w:t>These innate reflexes likely reflect evolutionary adaptations that prime the body to confront 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disgust to block harmful stimuli</w:t>
      </w:r>
      <w:r w:rsidR="00A811C6" w:rsidRPr="00AD084E">
        <w:rPr>
          <w:rFonts w:ascii="Times New Roman" w:hAnsi="Times New Roman" w:cs="Times New Roman"/>
          <w:sz w:val="24"/>
          <w:szCs w:val="24"/>
        </w:rPr>
        <w:fldChar w:fldCharType="begin"/>
      </w:r>
      <w:r w:rsidR="00A811C6">
        <w:rPr>
          <w:rFonts w:ascii="Times New Roman" w:hAnsi="Times New Roman" w:cs="Times New Roman"/>
          <w:sz w:val="24"/>
          <w:szCs w:val="24"/>
        </w:rPr>
        <w:instrText xml:space="preserve"> ADDIN ZOTERO_ITEM CSL_CITATION {"citationID":"hX6VrFHF","properties":{"formattedCitation":"\\super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A811C6" w:rsidRPr="009D6564">
        <w:rPr>
          <w:rFonts w:ascii="Times New Roman" w:hAnsi="Times New Roman" w:cs="Times New Roman"/>
          <w:kern w:val="0"/>
          <w:sz w:val="24"/>
          <w:vertAlign w:val="superscript"/>
        </w:rPr>
        <w:t>13</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w:t>
      </w:r>
      <w:r w:rsidR="00DF3BF5" w:rsidRPr="00AD084E">
        <w:rPr>
          <w:rFonts w:ascii="Times New Roman" w:hAnsi="Times New Roman" w:cs="Times New Roman"/>
          <w:sz w:val="24"/>
          <w:szCs w:val="24"/>
        </w:rPr>
        <w:lastRenderedPageBreak/>
        <w:t xml:space="preserve">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w:t>
      </w:r>
      <w:r w:rsidR="00484BDA">
        <w:rPr>
          <w:rFonts w:ascii="Times New Roman" w:hAnsi="Times New Roman" w:cs="Times New Roman"/>
          <w:sz w:val="24"/>
          <w:szCs w:val="24"/>
        </w:rPr>
        <w:t xml:space="preserve">within psychology </w:t>
      </w:r>
      <w:r w:rsidR="004A7F0C" w:rsidRPr="00AD084E">
        <w:rPr>
          <w:rFonts w:ascii="Times New Roman" w:hAnsi="Times New Roman" w:cs="Times New Roman"/>
          <w:sz w:val="24"/>
          <w:szCs w:val="24"/>
        </w:rPr>
        <w:t>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14</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 xml:space="preserve">like Fitbit and Apple Watch to deviate from proven psychological analyses in favor of their own pseudo-anxiety </w:t>
      </w:r>
      <w:r w:rsidR="00966442">
        <w:rPr>
          <w:rFonts w:ascii="Times New Roman" w:hAnsi="Times New Roman" w:cs="Times New Roman"/>
          <w:sz w:val="24"/>
          <w:szCs w:val="24"/>
        </w:rPr>
        <w:t>scores</w:t>
      </w:r>
      <w:r w:rsidR="00DF311D">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15</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A811C6">
        <w:rPr>
          <w:rFonts w:ascii="Times New Roman" w:hAnsi="Times New Roman" w:cs="Times New Roman"/>
          <w:sz w:val="24"/>
          <w:szCs w:val="24"/>
        </w:rPr>
        <w:t xml:space="preserve"> </w:t>
      </w:r>
      <w:r w:rsidR="00DD106B" w:rsidRPr="00DD106B">
        <w:rPr>
          <w:rFonts w:ascii="Times New Roman" w:hAnsi="Times New Roman" w:cs="Times New Roman"/>
          <w:sz w:val="24"/>
          <w:szCs w:val="24"/>
        </w:rPr>
        <w:t>Thus,</w:t>
      </w:r>
      <w:r w:rsidR="00174FA5">
        <w:rPr>
          <w:rFonts w:ascii="Times New Roman" w:hAnsi="Times New Roman" w:cs="Times New Roman"/>
          <w:sz w:val="24"/>
          <w:szCs w:val="24"/>
        </w:rPr>
        <w:t xml:space="preserve"> </w:t>
      </w:r>
      <w:r w:rsidR="00DD106B" w:rsidRPr="00DD106B">
        <w:rPr>
          <w:rFonts w:ascii="Times New Roman" w:hAnsi="Times New Roman" w:cs="Times New Roman"/>
          <w:sz w:val="24"/>
          <w:szCs w:val="24"/>
        </w:rPr>
        <w:t xml:space="preserve">the </w:t>
      </w:r>
      <w:r w:rsidR="00484BDA">
        <w:rPr>
          <w:rFonts w:ascii="Times New Roman" w:hAnsi="Times New Roman" w:cs="Times New Roman"/>
          <w:sz w:val="24"/>
          <w:szCs w:val="24"/>
        </w:rPr>
        <w:t xml:space="preserve">main research </w:t>
      </w:r>
      <w:r w:rsidR="00DD106B" w:rsidRPr="00DD106B">
        <w:rPr>
          <w:rFonts w:ascii="Times New Roman" w:hAnsi="Times New Roman" w:cs="Times New Roman"/>
          <w:sz w:val="24"/>
          <w:szCs w:val="24"/>
        </w:rPr>
        <w:t>challenge lies not in the conceptual link between physiology and anxiety, but in translating this link into reliable, data-driven frameworks</w:t>
      </w:r>
      <w:r w:rsidR="00484BDA">
        <w:rPr>
          <w:rFonts w:ascii="Times New Roman" w:hAnsi="Times New Roman" w:cs="Times New Roman"/>
          <w:sz w:val="24"/>
          <w:szCs w:val="24"/>
        </w:rPr>
        <w:t xml:space="preserve"> that generalize across a population.</w:t>
      </w:r>
    </w:p>
    <w:p w14:paraId="21F10ACF" w14:textId="07830F96" w:rsidR="00FA4575" w:rsidRDefault="00FA4575" w:rsidP="00FE5595">
      <w:pPr>
        <w:jc w:val="both"/>
        <w:rPr>
          <w:rFonts w:ascii="Times New Roman" w:hAnsi="Times New Roman" w:cs="Times New Roman"/>
          <w:sz w:val="24"/>
          <w:szCs w:val="24"/>
        </w:rPr>
      </w:pPr>
      <w:r w:rsidRPr="00FA4575">
        <w:rPr>
          <w:rFonts w:ascii="Times New Roman" w:hAnsi="Times New Roman" w:cs="Times New Roman"/>
          <w:sz w:val="24"/>
          <w:szCs w:val="24"/>
        </w:rPr>
        <w:t xml:space="preserve">Instead of circumventing clinically validated methods, the next generation of </w:t>
      </w:r>
      <w:r w:rsidR="00A751BF">
        <w:rPr>
          <w:rFonts w:ascii="Times New Roman" w:hAnsi="Times New Roman" w:cs="Times New Roman"/>
          <w:sz w:val="24"/>
          <w:szCs w:val="24"/>
        </w:rPr>
        <w:t xml:space="preserve">psychophysiological </w:t>
      </w:r>
      <w:r w:rsidRPr="00FA4575">
        <w:rPr>
          <w:rFonts w:ascii="Times New Roman" w:hAnsi="Times New Roman" w:cs="Times New Roman"/>
          <w:sz w:val="24"/>
          <w:szCs w:val="24"/>
        </w:rPr>
        <w:t xml:space="preserve">models </w:t>
      </w:r>
      <w:r w:rsidR="00A751BF">
        <w:rPr>
          <w:rFonts w:ascii="Times New Roman" w:hAnsi="Times New Roman" w:cs="Times New Roman"/>
          <w:sz w:val="24"/>
          <w:szCs w:val="24"/>
        </w:rPr>
        <w:t>should</w:t>
      </w:r>
      <w:r w:rsidRPr="00FA4575">
        <w:rPr>
          <w:rFonts w:ascii="Times New Roman" w:hAnsi="Times New Roman" w:cs="Times New Roman"/>
          <w:sz w:val="24"/>
          <w:szCs w:val="24"/>
        </w:rPr>
        <w:t xml:space="preserve"> address experimental variance </w:t>
      </w:r>
      <w:r w:rsidR="00A751BF">
        <w:rPr>
          <w:rFonts w:ascii="Times New Roman" w:hAnsi="Times New Roman" w:cs="Times New Roman"/>
          <w:sz w:val="24"/>
          <w:szCs w:val="24"/>
        </w:rPr>
        <w:t xml:space="preserve">within a more quantitative and standardized approach through </w:t>
      </w:r>
      <w:r>
        <w:rPr>
          <w:rFonts w:ascii="Times New Roman" w:hAnsi="Times New Roman" w:cs="Times New Roman"/>
          <w:sz w:val="24"/>
          <w:szCs w:val="24"/>
        </w:rPr>
        <w:t>reproducible</w:t>
      </w:r>
      <w:r w:rsidRPr="00FA4575">
        <w:rPr>
          <w:rFonts w:ascii="Times New Roman" w:hAnsi="Times New Roman" w:cs="Times New Roman"/>
          <w:sz w:val="24"/>
          <w:szCs w:val="24"/>
        </w:rPr>
        <w:t xml:space="preserve"> </w:t>
      </w:r>
      <w:r w:rsidR="00A751BF">
        <w:rPr>
          <w:rFonts w:ascii="Times New Roman" w:hAnsi="Times New Roman" w:cs="Times New Roman"/>
          <w:sz w:val="24"/>
          <w:szCs w:val="24"/>
        </w:rPr>
        <w:t>expressions</w:t>
      </w:r>
      <w:r>
        <w:rPr>
          <w:rFonts w:ascii="Times New Roman" w:hAnsi="Times New Roman" w:cs="Times New Roman"/>
          <w:sz w:val="24"/>
          <w:szCs w:val="24"/>
        </w:rPr>
        <w:t xml:space="preserve"> that can be validated across a</w:t>
      </w:r>
      <w:r w:rsidRPr="00FA4575">
        <w:rPr>
          <w:rFonts w:ascii="Times New Roman" w:hAnsi="Times New Roman" w:cs="Times New Roman"/>
          <w:sz w:val="24"/>
          <w:szCs w:val="24"/>
        </w:rPr>
        <w:t xml:space="preserve"> population, ultimately providing more actionable</w:t>
      </w:r>
      <w:r>
        <w:rPr>
          <w:rFonts w:ascii="Times New Roman" w:hAnsi="Times New Roman" w:cs="Times New Roman"/>
          <w:sz w:val="24"/>
          <w:szCs w:val="24"/>
        </w:rPr>
        <w:t xml:space="preserve"> </w:t>
      </w:r>
      <w:r w:rsidR="00DF25C0" w:rsidRPr="00ED3662">
        <w:rPr>
          <w:rFonts w:ascii="Times New Roman" w:hAnsi="Times New Roman" w:cs="Times New Roman"/>
          <w:sz w:val="24"/>
          <w:szCs w:val="24"/>
        </w:rPr>
        <w:t>wellness insights</w:t>
      </w:r>
      <w:r w:rsidR="00DF25C0" w:rsidRPr="00ED3662">
        <w:rPr>
          <w:rFonts w:ascii="Times New Roman" w:hAnsi="Times New Roman" w:cs="Times New Roman"/>
          <w:sz w:val="24"/>
          <w:szCs w:val="24"/>
        </w:rPr>
        <w:fldChar w:fldCharType="begin"/>
      </w:r>
      <w:r w:rsidR="00DF25C0">
        <w:rPr>
          <w:rFonts w:ascii="Times New Roman" w:hAnsi="Times New Roman" w:cs="Times New Roman"/>
          <w:sz w:val="24"/>
          <w:szCs w:val="24"/>
        </w:rPr>
        <w:instrText xml:space="preserve"> ADDIN ZOTERO_ITEM CSL_CITATION {"citationID":"V2bXxGoZ","properties":{"formattedCitation":"\\super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DF25C0" w:rsidRPr="00ED3662">
        <w:rPr>
          <w:rFonts w:ascii="Times New Roman" w:hAnsi="Times New Roman" w:cs="Times New Roman"/>
          <w:sz w:val="24"/>
          <w:szCs w:val="24"/>
        </w:rPr>
        <w:fldChar w:fldCharType="separate"/>
      </w:r>
      <w:r w:rsidR="00DF25C0" w:rsidRPr="009D6564">
        <w:rPr>
          <w:rFonts w:ascii="Times New Roman" w:hAnsi="Times New Roman" w:cs="Times New Roman"/>
          <w:kern w:val="0"/>
          <w:sz w:val="24"/>
          <w:vertAlign w:val="superscript"/>
        </w:rPr>
        <w:t>16</w:t>
      </w:r>
      <w:r w:rsidR="00DF25C0" w:rsidRPr="00ED3662">
        <w:rPr>
          <w:rFonts w:ascii="Times New Roman" w:hAnsi="Times New Roman" w:cs="Times New Roman"/>
          <w:sz w:val="24"/>
          <w:szCs w:val="24"/>
        </w:rPr>
        <w:fldChar w:fldCharType="end"/>
      </w:r>
      <w:r w:rsidR="00DF25C0" w:rsidRPr="00ED3662">
        <w:rPr>
          <w:rFonts w:ascii="Times New Roman" w:hAnsi="Times New Roman" w:cs="Times New Roman"/>
          <w:sz w:val="24"/>
          <w:szCs w:val="24"/>
        </w:rPr>
        <w:t xml:space="preserve">. </w:t>
      </w:r>
      <w:r w:rsidRPr="00FA4575">
        <w:rPr>
          <w:rFonts w:ascii="Times New Roman" w:hAnsi="Times New Roman" w:cs="Times New Roman"/>
          <w:sz w:val="24"/>
          <w:szCs w:val="24"/>
        </w:rPr>
        <w:t>Meta-learning</w:t>
      </w:r>
      <w:r w:rsidR="00484BDA">
        <w:rPr>
          <w:rFonts w:ascii="Times New Roman" w:hAnsi="Times New Roman" w:cs="Times New Roman"/>
          <w:sz w:val="24"/>
          <w:szCs w:val="24"/>
        </w:rPr>
        <w:t xml:space="preserve"> </w:t>
      </w:r>
      <w:r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 xml:space="preserve">shared </w:t>
      </w:r>
      <w:r w:rsidRPr="00FA4575">
        <w:rPr>
          <w:rFonts w:ascii="Times New Roman" w:hAnsi="Times New Roman" w:cs="Times New Roman"/>
          <w:sz w:val="24"/>
          <w:szCs w:val="24"/>
        </w:rPr>
        <w:t xml:space="preserve">adaptable parameters </w:t>
      </w:r>
      <w:r w:rsidR="00A751BF">
        <w:rPr>
          <w:rFonts w:ascii="Times New Roman" w:hAnsi="Times New Roman" w:cs="Times New Roman"/>
          <w:sz w:val="24"/>
          <w:szCs w:val="24"/>
        </w:rPr>
        <w:t xml:space="preserve">would </w:t>
      </w:r>
      <w:r w:rsidRPr="00FA4575">
        <w:rPr>
          <w:rFonts w:ascii="Times New Roman" w:hAnsi="Times New Roman" w:cs="Times New Roman"/>
          <w:sz w:val="24"/>
          <w:szCs w:val="24"/>
        </w:rPr>
        <w:t xml:space="preserve">enable these models to 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Pr="00FA4575">
        <w:rPr>
          <w:rFonts w:ascii="Times New Roman" w:hAnsi="Times New Roman" w:cs="Times New Roman"/>
          <w:sz w:val="24"/>
          <w:szCs w:val="24"/>
        </w:rPr>
        <w:t xml:space="preserve">fragmentation </w:t>
      </w:r>
      <w:r>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Pr="00FA4575">
        <w:rPr>
          <w:rFonts w:ascii="Times New Roman" w:hAnsi="Times New Roman" w:cs="Times New Roman"/>
          <w:sz w:val="24"/>
          <w:szCs w:val="24"/>
        </w:rPr>
        <w:t xml:space="preserve"> current </w:t>
      </w:r>
      <w:r w:rsidRPr="00DF25C0">
        <w:rPr>
          <w:rFonts w:ascii="Times New Roman" w:hAnsi="Times New Roman" w:cs="Times New Roman"/>
          <w:sz w:val="24"/>
          <w:szCs w:val="24"/>
        </w:rPr>
        <w:t>approaches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Pr="00FA4575">
        <w:rPr>
          <w:rFonts w:ascii="Times New Roman" w:hAnsi="Times New Roman" w:cs="Times New Roman"/>
          <w:sz w:val="24"/>
          <w:szCs w:val="24"/>
        </w:rPr>
        <w:t xml:space="preserve"> continuous functional domains—</w:t>
      </w:r>
      <w:r w:rsidR="00A751BF">
        <w:rPr>
          <w:rFonts w:ascii="Times New Roman" w:hAnsi="Times New Roman" w:cs="Times New Roman"/>
          <w:sz w:val="24"/>
          <w:szCs w:val="24"/>
        </w:rPr>
        <w:t xml:space="preserve">that dominate physics-informed neural architectures would better </w:t>
      </w:r>
      <w:r w:rsidRPr="00FA4575">
        <w:rPr>
          <w:rFonts w:ascii="Times New Roman" w:hAnsi="Times New Roman" w:cs="Times New Roman"/>
          <w:sz w:val="24"/>
          <w:szCs w:val="24"/>
        </w:rPr>
        <w:t>generalize across unseen conditions, overcoming the constraints of localized, time-dependent observations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sidRPr="00FA4575">
        <w:rPr>
          <w:rFonts w:ascii="Times New Roman" w:hAnsi="Times New Roman" w:cs="Times New Roman"/>
          <w:sz w:val="24"/>
          <w:szCs w:val="24"/>
        </w:rPr>
        <w:t xml:space="preserve">. By integrating meta-learning principles with neural operators, we </w:t>
      </w:r>
      <w:r w:rsidR="00484BDA" w:rsidRPr="00FA4575">
        <w:rPr>
          <w:rFonts w:ascii="Times New Roman" w:hAnsi="Times New Roman" w:cs="Times New Roman"/>
          <w:sz w:val="24"/>
          <w:szCs w:val="24"/>
        </w:rPr>
        <w:t>create</w:t>
      </w:r>
      <w:r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adapts across modalities and sampling rates, preserving the temporal characteristics crucial for accurate, clinically meaningful mental health modeling.</w:t>
      </w:r>
    </w:p>
    <w:p w14:paraId="67BDE709" w14:textId="2062F1A3" w:rsidR="00192084" w:rsidRPr="002827D8" w:rsidRDefault="00FE5595" w:rsidP="000839F1">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C872F7">
        <w:rPr>
          <w:rFonts w:ascii="Times New Roman" w:hAnsi="Times New Roman" w:cs="Times New Roman"/>
          <w:sz w:val="24"/>
          <w:szCs w:val="24"/>
        </w:rPr>
        <w:t xml:space="preserve">can </w:t>
      </w:r>
      <w:r w:rsidR="00D26BB5">
        <w:rPr>
          <w:rFonts w:ascii="Times New Roman" w:hAnsi="Times New Roman" w:cs="Times New Roman"/>
          <w:sz w:val="24"/>
          <w:szCs w:val="24"/>
        </w:rPr>
        <w:t>adapt to</w:t>
      </w:r>
      <w:r w:rsidR="00D26BB5" w:rsidRPr="00AD084E">
        <w:rPr>
          <w:rFonts w:ascii="Times New Roman" w:hAnsi="Times New Roman" w:cs="Times New Roman"/>
          <w:sz w:val="24"/>
          <w:szCs w:val="24"/>
        </w:rPr>
        <w:t xml:space="preserve"> out-of-domain time-</w:t>
      </w:r>
      <w:r w:rsidR="00C872F7" w:rsidRPr="00AD084E">
        <w:rPr>
          <w:rFonts w:ascii="Times New Roman" w:hAnsi="Times New Roman" w:cs="Times New Roman"/>
          <w:sz w:val="24"/>
          <w:szCs w:val="24"/>
        </w:rPr>
        <w:t>ser</w:t>
      </w:r>
      <w:r w:rsidR="00C872F7">
        <w:rPr>
          <w:rFonts w:ascii="Times New Roman" w:hAnsi="Times New Roman" w:cs="Times New Roman"/>
          <w:sz w:val="24"/>
          <w:szCs w:val="24"/>
        </w:rPr>
        <w:t xml:space="preserve">ies signals within psychophysiological datasets </w:t>
      </w:r>
      <w:r w:rsidR="00D26BB5">
        <w:rPr>
          <w:rFonts w:ascii="Times New Roman" w:hAnsi="Times New Roman" w:cs="Times New Roman"/>
          <w:sz w:val="24"/>
          <w:szCs w:val="24"/>
        </w:rPr>
        <w:t xml:space="preserve">by inverting </w:t>
      </w:r>
      <w:r w:rsidR="004C65BE">
        <w:rPr>
          <w:rFonts w:ascii="Times New Roman" w:hAnsi="Times New Roman" w:cs="Times New Roman"/>
          <w:sz w:val="24"/>
          <w:szCs w:val="24"/>
        </w:rPr>
        <w:t xml:space="preserve">the </w:t>
      </w:r>
      <w:r w:rsidR="00D26BB5">
        <w:rPr>
          <w:rFonts w:ascii="Times New Roman" w:hAnsi="Times New Roman" w:cs="Times New Roman"/>
          <w:sz w:val="24"/>
          <w:szCs w:val="24"/>
        </w:rPr>
        <w:t xml:space="preserve">conventional </w:t>
      </w:r>
      <w:r w:rsidR="004C65BE">
        <w:rPr>
          <w:rFonts w:ascii="Times New Roman" w:hAnsi="Times New Roman" w:cs="Times New Roman"/>
          <w:sz w:val="24"/>
          <w:szCs w:val="24"/>
        </w:rPr>
        <w:t xml:space="preserve">learning process. 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We overcome this challenge by treating</w:t>
      </w:r>
      <w:r w:rsidR="00F034B4" w:rsidRPr="00AD084E">
        <w:rPr>
          <w:rFonts w:ascii="Times New Roman" w:hAnsi="Times New Roman" w:cs="Times New Roman"/>
          <w:sz w:val="24"/>
          <w:szCs w:val="24"/>
        </w:rPr>
        <w:t xml:space="preserve"> each physiological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D26BB5">
        <w:rPr>
          <w:rFonts w:ascii="Times New Roman" w:hAnsi="Times New Roman" w:cs="Times New Roman"/>
          <w:sz w:val="24"/>
          <w:szCs w:val="24"/>
        </w:rPr>
        <w:t>) causal</w:t>
      </w:r>
      <w:r w:rsidR="00F034B4" w:rsidRPr="00AD084E">
        <w:rPr>
          <w:rFonts w:ascii="Times New Roman" w:hAnsi="Times New Roman" w:cs="Times New Roman"/>
          <w:sz w:val="24"/>
          <w:szCs w:val="24"/>
        </w:rPr>
        <w:t xml:space="preserve"> hidden biological perturbation, termed the physiological profile (p-profile). </w:t>
      </w:r>
      <w:r w:rsidR="00C872F7">
        <w:rPr>
          <w:rFonts w:ascii="Times New Roman" w:hAnsi="Times New Roman" w:cs="Times New Roman"/>
          <w:sz w:val="24"/>
          <w:szCs w:val="24"/>
        </w:rPr>
        <w:t xml:space="preserve">OL models learn to generate an impulse that justifies each biological observation independently </w:t>
      </w:r>
      <w:r w:rsidR="00DC5B9B">
        <w:rPr>
          <w:rFonts w:ascii="Times New Roman" w:hAnsi="Times New Roman" w:cs="Times New Roman"/>
          <w:sz w:val="24"/>
          <w:szCs w:val="24"/>
        </w:rPr>
        <w:t>rather than directly learning how an arbitrary set of signals map to a common latent space. OL methods further accommodate different sampling frequencies by downsizing the p-profile to each biomarker’s timepoints, removing common resampling artifacts required to align time-series signals. Within this structure, t</w:t>
      </w:r>
      <w:r w:rsidR="000839F1">
        <w:rPr>
          <w:rFonts w:ascii="Times New Roman" w:hAnsi="Times New Roman" w:cs="Times New Roman"/>
          <w:sz w:val="24"/>
          <w:szCs w:val="24"/>
        </w:rPr>
        <w:t xml:space="preserve">he weights between each biomarker and emotion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through a </w:t>
      </w:r>
      <w:r w:rsidR="000839F1">
        <w:rPr>
          <w:rFonts w:ascii="Times New Roman" w:hAnsi="Times New Roman" w:cs="Times New Roman"/>
          <w:sz w:val="24"/>
          <w:szCs w:val="24"/>
        </w:rPr>
        <w:t xml:space="preserve">dynamic </w:t>
      </w:r>
      <w:r w:rsidR="006B3AA6">
        <w:rPr>
          <w:rFonts w:ascii="Times New Roman" w:hAnsi="Times New Roman" w:cs="Times New Roman"/>
          <w:sz w:val="24"/>
          <w:szCs w:val="24"/>
        </w:rPr>
        <w:t xml:space="preserve">system.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o</w:t>
      </w:r>
      <w:r w:rsidR="00192084">
        <w:rPr>
          <w:rFonts w:ascii="Times New Roman" w:hAnsi="Times New Roman" w:cs="Times New Roman"/>
          <w:sz w:val="24"/>
          <w:szCs w:val="24"/>
        </w:rPr>
        <w:t xml:space="preserve">bservational models can </w:t>
      </w:r>
      <w:r w:rsidR="00DC5B9B">
        <w:rPr>
          <w:rFonts w:ascii="Times New Roman" w:hAnsi="Times New Roman" w:cs="Times New Roman"/>
          <w:sz w:val="24"/>
          <w:szCs w:val="24"/>
        </w:rPr>
        <w:t>merge the</w:t>
      </w:r>
      <w:r w:rsidR="00192084">
        <w:rPr>
          <w:rFonts w:ascii="Times New Roman" w:hAnsi="Times New Roman" w:cs="Times New Roman"/>
          <w:sz w:val="24"/>
          <w:szCs w:val="24"/>
        </w:rPr>
        <w:t xml:space="preserve"> growing </w:t>
      </w:r>
      <w:r w:rsidR="00DC5B9B">
        <w:rPr>
          <w:rFonts w:ascii="Times New Roman" w:hAnsi="Times New Roman" w:cs="Times New Roman"/>
          <w:sz w:val="24"/>
          <w:szCs w:val="24"/>
        </w:rPr>
        <w:t xml:space="preserve">number of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Pr>
          <w:rFonts w:ascii="Times New Roman" w:hAnsi="Times New Roman" w:cs="Times New Roman"/>
          <w:sz w:val="24"/>
          <w:szCs w:val="24"/>
        </w:rPr>
        <w:t xml:space="preserve"> to better </w:t>
      </w:r>
      <w:r w:rsidR="00192084" w:rsidRPr="002827D8">
        <w:rPr>
          <w:rFonts w:ascii="Times New Roman" w:hAnsi="Times New Roman" w:cs="Times New Roman"/>
          <w:sz w:val="24"/>
          <w:szCs w:val="24"/>
        </w:rPr>
        <w:t>generaliz</w:t>
      </w:r>
      <w:r w:rsidR="00192084">
        <w:rPr>
          <w:rFonts w:ascii="Times New Roman" w:hAnsi="Times New Roman" w:cs="Times New Roman"/>
          <w:sz w:val="24"/>
          <w:szCs w:val="24"/>
        </w:rPr>
        <w:t>e</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across different 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This is achieved through a series of reversible, learnable transformations that connect input and output states. By mapping all the biometric responses to the p-profile, OL models effectively </w:t>
      </w:r>
      <w:r w:rsidRPr="00AD084E">
        <w:rPr>
          <w:rFonts w:ascii="Times New Roman" w:hAnsi="Times New Roman" w:cs="Times New Roman"/>
          <w:sz w:val="24"/>
          <w:szCs w:val="24"/>
        </w:rPr>
        <w:lastRenderedPageBreak/>
        <w:t>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C4EED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{"citationID":"jDFDZ5yM","properties":{"formattedCitation":"\\super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w:t>
      </w:r>
      <w:r w:rsidR="00D53DE7" w:rsidRPr="00AD084E">
        <w:rPr>
          <w:rFonts w:ascii="Times New Roman" w:hAnsi="Times New Roman" w:cs="Times New Roman"/>
          <w:sz w:val="24"/>
          <w:szCs w:val="24"/>
        </w:rPr>
        <w:lastRenderedPageBreak/>
        <w:t>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t>
      </w:r>
      <w:r w:rsidRPr="00AD084E">
        <w:rPr>
          <w:rFonts w:ascii="Times New Roman" w:hAnsi="Times New Roman" w:cs="Times New Roman"/>
          <w:sz w:val="24"/>
          <w:szCs w:val="24"/>
        </w:rPr>
        <w:lastRenderedPageBreak/>
        <w:t>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62CBB820" w14:textId="77777777" w:rsidR="00B85FD6" w:rsidRPr="00B85FD6" w:rsidRDefault="0028496D" w:rsidP="00B85FD6">
      <w:pPr>
        <w:pStyle w:val="Bibliography"/>
        <w:rPr>
          <w:rFonts w:ascii="Times New Roman" w:hAnsi="Times New Roman" w:cs="Times New Roman"/>
          <w:sz w:val="24"/>
        </w:rPr>
      </w:pPr>
      <w:r w:rsidRPr="00AD084E">
        <w:rPr>
          <w:sz w:val="24"/>
          <w:szCs w:val="24"/>
        </w:rPr>
        <w:fldChar w:fldCharType="begin"/>
      </w:r>
      <w:r w:rsidR="00B85FD6">
        <w:rPr>
          <w:sz w:val="24"/>
          <w:szCs w:val="24"/>
        </w:rPr>
        <w:instrText xml:space="preserve"> ADDIN ZOTERO_BIBL {"uncited":[],"omitted":[],"custom":[]} CSL_BIBLIOGRAPHY </w:instrText>
      </w:r>
      <w:r w:rsidRPr="00AD084E">
        <w:rPr>
          <w:sz w:val="24"/>
          <w:szCs w:val="24"/>
        </w:rPr>
        <w:fldChar w:fldCharType="separate"/>
      </w:r>
      <w:r w:rsidR="00B85FD6" w:rsidRPr="00B85FD6">
        <w:rPr>
          <w:rFonts w:ascii="Times New Roman" w:hAnsi="Times New Roman" w:cs="Times New Roman"/>
          <w:sz w:val="24"/>
        </w:rPr>
        <w:t>1.</w:t>
      </w:r>
      <w:r w:rsidR="00B85FD6" w:rsidRPr="00B85FD6">
        <w:rPr>
          <w:rFonts w:ascii="Times New Roman" w:hAnsi="Times New Roman" w:cs="Times New Roman"/>
          <w:sz w:val="24"/>
        </w:rPr>
        <w:tab/>
        <w:t xml:space="preserve">Darwin, C. </w:t>
      </w:r>
      <w:r w:rsidR="00B85FD6" w:rsidRPr="00B85FD6">
        <w:rPr>
          <w:rFonts w:ascii="Times New Roman" w:hAnsi="Times New Roman" w:cs="Times New Roman"/>
          <w:i/>
          <w:iCs/>
          <w:sz w:val="24"/>
        </w:rPr>
        <w:t>The Expression of the Emotions in Man and Animals</w:t>
      </w:r>
      <w:r w:rsidR="00B85FD6" w:rsidRPr="00B85FD6">
        <w:rPr>
          <w:rFonts w:ascii="Times New Roman" w:hAnsi="Times New Roman" w:cs="Times New Roman"/>
          <w:sz w:val="24"/>
        </w:rPr>
        <w:t>. (J. Murray, 1904).</w:t>
      </w:r>
    </w:p>
    <w:p w14:paraId="3C63965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2.</w:t>
      </w:r>
      <w:r w:rsidRPr="00B85FD6">
        <w:rPr>
          <w:rFonts w:ascii="Times New Roman" w:hAnsi="Times New Roman" w:cs="Times New Roman"/>
          <w:sz w:val="24"/>
        </w:rPr>
        <w:tab/>
        <w:t xml:space="preserve">Mohr, D. C., Zhang, M. &amp; Schueller, S. M. Personal Sensing: Understanding Mental Health Using Ubiquitous Sensors and Machine Learning. </w:t>
      </w:r>
      <w:r w:rsidRPr="00B85FD6">
        <w:rPr>
          <w:rFonts w:ascii="Times New Roman" w:hAnsi="Times New Roman" w:cs="Times New Roman"/>
          <w:i/>
          <w:iCs/>
          <w:sz w:val="24"/>
        </w:rPr>
        <w:t>Annu. Rev. Clin. Psychol.</w:t>
      </w:r>
      <w:r w:rsidRPr="00B85FD6">
        <w:rPr>
          <w:rFonts w:ascii="Times New Roman" w:hAnsi="Times New Roman" w:cs="Times New Roman"/>
          <w:sz w:val="24"/>
        </w:rPr>
        <w:t xml:space="preserve"> </w:t>
      </w:r>
      <w:r w:rsidRPr="00B85FD6">
        <w:rPr>
          <w:rFonts w:ascii="Times New Roman" w:hAnsi="Times New Roman" w:cs="Times New Roman"/>
          <w:b/>
          <w:bCs/>
          <w:sz w:val="24"/>
        </w:rPr>
        <w:t>13</w:t>
      </w:r>
      <w:r w:rsidRPr="00B85FD6">
        <w:rPr>
          <w:rFonts w:ascii="Times New Roman" w:hAnsi="Times New Roman" w:cs="Times New Roman"/>
          <w:sz w:val="24"/>
        </w:rPr>
        <w:t>, 23–47 (2017).</w:t>
      </w:r>
    </w:p>
    <w:p w14:paraId="538B64F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3.</w:t>
      </w:r>
      <w:r w:rsidRPr="00B85FD6">
        <w:rPr>
          <w:rFonts w:ascii="Times New Roman" w:hAnsi="Times New Roman" w:cs="Times New Roman"/>
          <w:sz w:val="24"/>
        </w:rPr>
        <w:tab/>
        <w:t xml:space="preserve">Constants across cultures in the face and emotion. </w:t>
      </w:r>
      <w:r w:rsidRPr="00B85FD6">
        <w:rPr>
          <w:rFonts w:ascii="Times New Roman" w:hAnsi="Times New Roman" w:cs="Times New Roman"/>
          <w:i/>
          <w:iCs/>
          <w:sz w:val="24"/>
        </w:rPr>
        <w:t>ResearchGate</w:t>
      </w:r>
      <w:r w:rsidRPr="00B85FD6">
        <w:rPr>
          <w:rFonts w:ascii="Times New Roman" w:hAnsi="Times New Roman" w:cs="Times New Roman"/>
          <w:sz w:val="24"/>
        </w:rPr>
        <w:t xml:space="preserve"> https://www.researchgate.net/publication/17640481_Constants_across_cultures_in_the_face_and_emotion.</w:t>
      </w:r>
    </w:p>
    <w:p w14:paraId="25AD3E02"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4.</w:t>
      </w:r>
      <w:r w:rsidRPr="00B85FD6">
        <w:rPr>
          <w:rFonts w:ascii="Times New Roman" w:hAnsi="Times New Roman" w:cs="Times New Roman"/>
          <w:sz w:val="24"/>
        </w:rPr>
        <w:tab/>
        <w:t xml:space="preserve">Demszky, D. </w:t>
      </w:r>
      <w:r w:rsidRPr="00B85FD6">
        <w:rPr>
          <w:rFonts w:ascii="Times New Roman" w:hAnsi="Times New Roman" w:cs="Times New Roman"/>
          <w:i/>
          <w:iCs/>
          <w:sz w:val="24"/>
        </w:rPr>
        <w:t>et al.</w:t>
      </w:r>
      <w:r w:rsidRPr="00B85FD6">
        <w:rPr>
          <w:rFonts w:ascii="Times New Roman" w:hAnsi="Times New Roman" w:cs="Times New Roman"/>
          <w:sz w:val="24"/>
        </w:rPr>
        <w:t xml:space="preserve"> GoEmotions: A Dataset of Fine-Grained Emotions. in </w:t>
      </w:r>
      <w:r w:rsidRPr="00B85FD6">
        <w:rPr>
          <w:rFonts w:ascii="Times New Roman" w:hAnsi="Times New Roman" w:cs="Times New Roman"/>
          <w:i/>
          <w:iCs/>
          <w:sz w:val="24"/>
        </w:rPr>
        <w:t>Proceedings of the 58th Annual Meeting of the Association for Computational Linguistics</w:t>
      </w:r>
      <w:r w:rsidRPr="00B85FD6">
        <w:rPr>
          <w:rFonts w:ascii="Times New Roman" w:hAnsi="Times New Roman" w:cs="Times New Roman"/>
          <w:sz w:val="24"/>
        </w:rPr>
        <w:t xml:space="preserve"> (eds. Jurafsky, D., Chai, J., Schluter, N. &amp; Tetreault, J.) 4040–4054 (Association for Computational Linguistics, Online, 2020). doi:10.18653/v1/2020.acl-main.372.</w:t>
      </w:r>
    </w:p>
    <w:p w14:paraId="0230AA3F"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5.</w:t>
      </w:r>
      <w:r w:rsidRPr="00B85FD6">
        <w:rPr>
          <w:rFonts w:ascii="Times New Roman" w:hAnsi="Times New Roman" w:cs="Times New Roman"/>
          <w:sz w:val="24"/>
        </w:rPr>
        <w:tab/>
        <w:t>Zeng, A., Chen, M., Zhang, L. &amp; Xu, Q. Are Transformers Effective for Time Series Forecasting? Preprint at https://doi.org/10.48550/arXiv.2205.13504 (2022).</w:t>
      </w:r>
    </w:p>
    <w:p w14:paraId="1FFFEC5C"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6.</w:t>
      </w:r>
      <w:r w:rsidRPr="00B85FD6">
        <w:rPr>
          <w:rFonts w:ascii="Times New Roman" w:hAnsi="Times New Roman" w:cs="Times New Roman"/>
          <w:sz w:val="24"/>
        </w:rPr>
        <w:tab/>
        <w:t xml:space="preserve">Devlin, J., Chang, M.-W., Lee, K. &amp; Toutanova, K. BERT: Pre-training of Deep Bidirectional Transformers for Language Understanding. in </w:t>
      </w:r>
      <w:r w:rsidRPr="00B85FD6">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B85FD6">
        <w:rPr>
          <w:rFonts w:ascii="Times New Roman" w:hAnsi="Times New Roman" w:cs="Times New Roman"/>
          <w:sz w:val="24"/>
        </w:rPr>
        <w:t xml:space="preserve"> (eds. Burstein, J., Doran, C. &amp; Solorio, T.) 4171–4186 (Association for Computational Linguistics, Minneapolis, Minnesota, 2019). doi:10.18653/v1/N19-1423.</w:t>
      </w:r>
    </w:p>
    <w:p w14:paraId="381B451D"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7.</w:t>
      </w:r>
      <w:r w:rsidRPr="00B85FD6">
        <w:rPr>
          <w:rFonts w:ascii="Times New Roman" w:hAnsi="Times New Roman" w:cs="Times New Roman"/>
          <w:sz w:val="24"/>
        </w:rPr>
        <w:tab/>
        <w:t xml:space="preserve">Freud, S. </w:t>
      </w:r>
      <w:r w:rsidRPr="00B85FD6">
        <w:rPr>
          <w:rFonts w:ascii="Times New Roman" w:hAnsi="Times New Roman" w:cs="Times New Roman"/>
          <w:i/>
          <w:iCs/>
          <w:sz w:val="24"/>
        </w:rPr>
        <w:t>Inhibitions, Symptoms, and Anxiety</w:t>
      </w:r>
      <w:r w:rsidRPr="00B85FD6">
        <w:rPr>
          <w:rFonts w:ascii="Times New Roman" w:hAnsi="Times New Roman" w:cs="Times New Roman"/>
          <w:sz w:val="24"/>
        </w:rPr>
        <w:t>. (Norton, New York, 1989).</w:t>
      </w:r>
    </w:p>
    <w:p w14:paraId="0937432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8.</w:t>
      </w:r>
      <w:r w:rsidRPr="00B85FD6">
        <w:rPr>
          <w:rFonts w:ascii="Times New Roman" w:hAnsi="Times New Roman" w:cs="Times New Roman"/>
          <w:sz w:val="24"/>
        </w:rPr>
        <w:tab/>
        <w:t xml:space="preserve">Cognitive, Social, and Physiological Determinants of Emotional State. In: Psychological Review 69(5): 379-399. </w:t>
      </w:r>
      <w:r w:rsidRPr="00B85FD6">
        <w:rPr>
          <w:rFonts w:ascii="Times New Roman" w:hAnsi="Times New Roman" w:cs="Times New Roman"/>
          <w:i/>
          <w:iCs/>
          <w:sz w:val="24"/>
        </w:rPr>
        <w:t>ResearchGate</w:t>
      </w:r>
      <w:r w:rsidRPr="00B85FD6">
        <w:rPr>
          <w:rFonts w:ascii="Times New Roman" w:hAnsi="Times New Roman" w:cs="Times New Roman"/>
          <w:sz w:val="24"/>
        </w:rPr>
        <w:t xml:space="preserve"> https://www.researchgate.net/publication/9090242_Cognitive_Social_and_Physiological_Determinants_of_Emotional_State_In_Psychological_Review_695_379-399.</w:t>
      </w:r>
    </w:p>
    <w:p w14:paraId="2817EBF0"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lastRenderedPageBreak/>
        <w:t>9.</w:t>
      </w:r>
      <w:r w:rsidRPr="00B85FD6">
        <w:rPr>
          <w:rFonts w:ascii="Times New Roman" w:hAnsi="Times New Roman" w:cs="Times New Roman"/>
          <w:sz w:val="24"/>
        </w:rPr>
        <w:tab/>
        <w:t xml:space="preserve">Stojanović, N. </w:t>
      </w:r>
      <w:r w:rsidRPr="00B85FD6">
        <w:rPr>
          <w:rFonts w:ascii="Times New Roman" w:hAnsi="Times New Roman" w:cs="Times New Roman"/>
          <w:i/>
          <w:iCs/>
          <w:sz w:val="24"/>
        </w:rPr>
        <w:t>et al.</w:t>
      </w:r>
      <w:r w:rsidRPr="00B85FD6">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B85FD6">
        <w:rPr>
          <w:rFonts w:ascii="Times New Roman" w:hAnsi="Times New Roman" w:cs="Times New Roman"/>
          <w:i/>
          <w:iCs/>
          <w:sz w:val="24"/>
        </w:rPr>
        <w:t>Acta Fac. Medicae Naissensis</w:t>
      </w:r>
      <w:r w:rsidRPr="00B85FD6">
        <w:rPr>
          <w:rFonts w:ascii="Times New Roman" w:hAnsi="Times New Roman" w:cs="Times New Roman"/>
          <w:sz w:val="24"/>
        </w:rPr>
        <w:t xml:space="preserve"> </w:t>
      </w:r>
      <w:r w:rsidRPr="00B85FD6">
        <w:rPr>
          <w:rFonts w:ascii="Times New Roman" w:hAnsi="Times New Roman" w:cs="Times New Roman"/>
          <w:b/>
          <w:bCs/>
          <w:sz w:val="24"/>
        </w:rPr>
        <w:t>37</w:t>
      </w:r>
      <w:r w:rsidRPr="00B85FD6">
        <w:rPr>
          <w:rFonts w:ascii="Times New Roman" w:hAnsi="Times New Roman" w:cs="Times New Roman"/>
          <w:sz w:val="24"/>
        </w:rPr>
        <w:t>, 149–159 (2020).</w:t>
      </w:r>
    </w:p>
    <w:p w14:paraId="38C31594"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10.</w:t>
      </w:r>
      <w:r w:rsidRPr="00B85FD6">
        <w:rPr>
          <w:rFonts w:ascii="Times New Roman" w:hAnsi="Times New Roman" w:cs="Times New Roman"/>
          <w:sz w:val="24"/>
        </w:rPr>
        <w:tab/>
        <w:t xml:space="preserve">Gustafson, L. W. </w:t>
      </w:r>
      <w:r w:rsidRPr="00B85FD6">
        <w:rPr>
          <w:rFonts w:ascii="Times New Roman" w:hAnsi="Times New Roman" w:cs="Times New Roman"/>
          <w:i/>
          <w:iCs/>
          <w:sz w:val="24"/>
        </w:rPr>
        <w:t>et al.</w:t>
      </w:r>
      <w:r w:rsidRPr="00B85FD6">
        <w:rPr>
          <w:rFonts w:ascii="Times New Roman" w:hAnsi="Times New Roman" w:cs="Times New Roman"/>
          <w:sz w:val="24"/>
        </w:rPr>
        <w:t xml:space="preserve"> Validity and reliability of State-Trait Anxiety Inventory in Danish women aged 45 years and older with abnormal cervical screening results. </w:t>
      </w:r>
      <w:r w:rsidRPr="00B85FD6">
        <w:rPr>
          <w:rFonts w:ascii="Times New Roman" w:hAnsi="Times New Roman" w:cs="Times New Roman"/>
          <w:i/>
          <w:iCs/>
          <w:sz w:val="24"/>
        </w:rPr>
        <w:t>BMC Med. Res. Methodol.</w:t>
      </w:r>
      <w:r w:rsidRPr="00B85FD6">
        <w:rPr>
          <w:rFonts w:ascii="Times New Roman" w:hAnsi="Times New Roman" w:cs="Times New Roman"/>
          <w:sz w:val="24"/>
        </w:rPr>
        <w:t xml:space="preserve"> </w:t>
      </w:r>
      <w:r w:rsidRPr="00B85FD6">
        <w:rPr>
          <w:rFonts w:ascii="Times New Roman" w:hAnsi="Times New Roman" w:cs="Times New Roman"/>
          <w:b/>
          <w:bCs/>
          <w:sz w:val="24"/>
        </w:rPr>
        <w:t>20</w:t>
      </w:r>
      <w:r w:rsidRPr="00B85FD6">
        <w:rPr>
          <w:rFonts w:ascii="Times New Roman" w:hAnsi="Times New Roman" w:cs="Times New Roman"/>
          <w:sz w:val="24"/>
        </w:rPr>
        <w:t>, 89 (2020).</w:t>
      </w:r>
    </w:p>
    <w:p w14:paraId="2F1F9BDE"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11.</w:t>
      </w:r>
      <w:r w:rsidRPr="00B85FD6">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B85FD6">
        <w:rPr>
          <w:rFonts w:ascii="Times New Roman" w:hAnsi="Times New Roman" w:cs="Times New Roman"/>
          <w:i/>
          <w:iCs/>
          <w:sz w:val="24"/>
        </w:rPr>
        <w:t>Procedia - Soc. Behav. Sci.</w:t>
      </w:r>
      <w:r w:rsidRPr="00B85FD6">
        <w:rPr>
          <w:rFonts w:ascii="Times New Roman" w:hAnsi="Times New Roman" w:cs="Times New Roman"/>
          <w:sz w:val="24"/>
        </w:rPr>
        <w:t xml:space="preserve"> </w:t>
      </w:r>
      <w:r w:rsidRPr="00B85FD6">
        <w:rPr>
          <w:rFonts w:ascii="Times New Roman" w:hAnsi="Times New Roman" w:cs="Times New Roman"/>
          <w:b/>
          <w:bCs/>
          <w:sz w:val="24"/>
        </w:rPr>
        <w:t>15</w:t>
      </w:r>
      <w:r w:rsidRPr="00B85FD6">
        <w:rPr>
          <w:rFonts w:ascii="Times New Roman" w:hAnsi="Times New Roman" w:cs="Times New Roman"/>
          <w:sz w:val="24"/>
        </w:rPr>
        <w:t>, 3843–3848 (2011).</w:t>
      </w:r>
    </w:p>
    <w:p w14:paraId="6AAB69F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12.</w:t>
      </w:r>
      <w:r w:rsidRPr="00B85FD6">
        <w:rPr>
          <w:rFonts w:ascii="Times New Roman" w:hAnsi="Times New Roman" w:cs="Times New Roman"/>
          <w:sz w:val="24"/>
        </w:rPr>
        <w:tab/>
        <w:t xml:space="preserve">Thomas, C. L. &amp; Cassady, J. C. Validation of the State Version of the State-Trait Anxiety Inventory in a University Sample. </w:t>
      </w:r>
      <w:r w:rsidRPr="00B85FD6">
        <w:rPr>
          <w:rFonts w:ascii="Times New Roman" w:hAnsi="Times New Roman" w:cs="Times New Roman"/>
          <w:i/>
          <w:iCs/>
          <w:sz w:val="24"/>
        </w:rPr>
        <w:t>SAGE Open</w:t>
      </w:r>
      <w:r w:rsidRPr="00B85FD6">
        <w:rPr>
          <w:rFonts w:ascii="Times New Roman" w:hAnsi="Times New Roman" w:cs="Times New Roman"/>
          <w:sz w:val="24"/>
        </w:rPr>
        <w:t>.</w:t>
      </w:r>
    </w:p>
    <w:p w14:paraId="4D0D0C2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13.</w:t>
      </w:r>
      <w:r w:rsidRPr="00B85FD6">
        <w:rPr>
          <w:rFonts w:ascii="Times New Roman" w:hAnsi="Times New Roman" w:cs="Times New Roman"/>
          <w:sz w:val="24"/>
        </w:rPr>
        <w:tab/>
        <w:t xml:space="preserve">Matsumoto, D. &amp; Willingham, B. Spontaneous facial expressions of emotion of congenitally and noncongenitally blind individuals. </w:t>
      </w:r>
      <w:r w:rsidRPr="00B85FD6">
        <w:rPr>
          <w:rFonts w:ascii="Times New Roman" w:hAnsi="Times New Roman" w:cs="Times New Roman"/>
          <w:i/>
          <w:iCs/>
          <w:sz w:val="24"/>
        </w:rPr>
        <w:t>J. Pers. Soc. Psychol.</w:t>
      </w:r>
      <w:r w:rsidRPr="00B85FD6">
        <w:rPr>
          <w:rFonts w:ascii="Times New Roman" w:hAnsi="Times New Roman" w:cs="Times New Roman"/>
          <w:sz w:val="24"/>
        </w:rPr>
        <w:t xml:space="preserve"> </w:t>
      </w:r>
      <w:r w:rsidRPr="00B85FD6">
        <w:rPr>
          <w:rFonts w:ascii="Times New Roman" w:hAnsi="Times New Roman" w:cs="Times New Roman"/>
          <w:b/>
          <w:bCs/>
          <w:sz w:val="24"/>
        </w:rPr>
        <w:t>96</w:t>
      </w:r>
      <w:r w:rsidRPr="00B85FD6">
        <w:rPr>
          <w:rFonts w:ascii="Times New Roman" w:hAnsi="Times New Roman" w:cs="Times New Roman"/>
          <w:sz w:val="24"/>
        </w:rPr>
        <w:t>, 1–10 (2009).</w:t>
      </w:r>
    </w:p>
    <w:p w14:paraId="08985C2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14.</w:t>
      </w:r>
      <w:r w:rsidRPr="00B85FD6">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B85FD6">
        <w:rPr>
          <w:rFonts w:ascii="Times New Roman" w:hAnsi="Times New Roman" w:cs="Times New Roman"/>
          <w:i/>
          <w:iCs/>
          <w:sz w:val="24"/>
        </w:rPr>
        <w:t>Int. J. Med. Inf.</w:t>
      </w:r>
      <w:r w:rsidRPr="00B85FD6">
        <w:rPr>
          <w:rFonts w:ascii="Times New Roman" w:hAnsi="Times New Roman" w:cs="Times New Roman"/>
          <w:sz w:val="24"/>
        </w:rPr>
        <w:t xml:space="preserve"> </w:t>
      </w:r>
      <w:r w:rsidRPr="00B85FD6">
        <w:rPr>
          <w:rFonts w:ascii="Times New Roman" w:hAnsi="Times New Roman" w:cs="Times New Roman"/>
          <w:b/>
          <w:bCs/>
          <w:sz w:val="24"/>
        </w:rPr>
        <w:t>173</w:t>
      </w:r>
      <w:r w:rsidRPr="00B85FD6">
        <w:rPr>
          <w:rFonts w:ascii="Times New Roman" w:hAnsi="Times New Roman" w:cs="Times New Roman"/>
          <w:sz w:val="24"/>
        </w:rPr>
        <w:t>, 105026 (2023).</w:t>
      </w:r>
    </w:p>
    <w:p w14:paraId="58144D83"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15.</w:t>
      </w:r>
      <w:r w:rsidRPr="00B85FD6">
        <w:rPr>
          <w:rFonts w:ascii="Times New Roman" w:hAnsi="Times New Roman" w:cs="Times New Roman"/>
          <w:sz w:val="24"/>
        </w:rPr>
        <w:tab/>
        <w:t xml:space="preserve">Gagnon, J. </w:t>
      </w:r>
      <w:r w:rsidRPr="00B85FD6">
        <w:rPr>
          <w:rFonts w:ascii="Times New Roman" w:hAnsi="Times New Roman" w:cs="Times New Roman"/>
          <w:i/>
          <w:iCs/>
          <w:sz w:val="24"/>
        </w:rPr>
        <w:t>et al.</w:t>
      </w:r>
      <w:r w:rsidRPr="00B85FD6">
        <w:rPr>
          <w:rFonts w:ascii="Times New Roman" w:hAnsi="Times New Roman" w:cs="Times New Roman"/>
          <w:sz w:val="24"/>
        </w:rPr>
        <w:t xml:space="preserve"> Comparing a Fitbit Wearable to an Electrocardiogram Gold Standard as a Measure of Heart Rate Under Psychological Stress: A Validation Study. </w:t>
      </w:r>
      <w:r w:rsidRPr="00B85FD6">
        <w:rPr>
          <w:rFonts w:ascii="Times New Roman" w:hAnsi="Times New Roman" w:cs="Times New Roman"/>
          <w:i/>
          <w:iCs/>
          <w:sz w:val="24"/>
        </w:rPr>
        <w:t>JMIR Form. Res.</w:t>
      </w:r>
      <w:r w:rsidRPr="00B85FD6">
        <w:rPr>
          <w:rFonts w:ascii="Times New Roman" w:hAnsi="Times New Roman" w:cs="Times New Roman"/>
          <w:sz w:val="24"/>
        </w:rPr>
        <w:t xml:space="preserve"> </w:t>
      </w:r>
      <w:r w:rsidRPr="00B85FD6">
        <w:rPr>
          <w:rFonts w:ascii="Times New Roman" w:hAnsi="Times New Roman" w:cs="Times New Roman"/>
          <w:b/>
          <w:bCs/>
          <w:sz w:val="24"/>
        </w:rPr>
        <w:t>6</w:t>
      </w:r>
      <w:r w:rsidRPr="00B85FD6">
        <w:rPr>
          <w:rFonts w:ascii="Times New Roman" w:hAnsi="Times New Roman" w:cs="Times New Roman"/>
          <w:sz w:val="24"/>
        </w:rPr>
        <w:t>, e37885 (2022).</w:t>
      </w:r>
    </w:p>
    <w:p w14:paraId="1DEE726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16.</w:t>
      </w:r>
      <w:r w:rsidRPr="00B85FD6">
        <w:rPr>
          <w:rFonts w:ascii="Times New Roman" w:hAnsi="Times New Roman" w:cs="Times New Roman"/>
          <w:sz w:val="24"/>
        </w:rPr>
        <w:tab/>
        <w:t xml:space="preserve">Wilson, P. W. F. </w:t>
      </w:r>
      <w:r w:rsidRPr="00B85FD6">
        <w:rPr>
          <w:rFonts w:ascii="Times New Roman" w:hAnsi="Times New Roman" w:cs="Times New Roman"/>
          <w:i/>
          <w:iCs/>
          <w:sz w:val="24"/>
        </w:rPr>
        <w:t>et al.</w:t>
      </w:r>
      <w:r w:rsidRPr="00B85FD6">
        <w:rPr>
          <w:rFonts w:ascii="Times New Roman" w:hAnsi="Times New Roman" w:cs="Times New Roman"/>
          <w:sz w:val="24"/>
        </w:rPr>
        <w:t xml:space="preserve"> Prediction of Coronary Heart Disease Using Risk Factor Categories. </w:t>
      </w:r>
      <w:r w:rsidRPr="00B85FD6">
        <w:rPr>
          <w:rFonts w:ascii="Times New Roman" w:hAnsi="Times New Roman" w:cs="Times New Roman"/>
          <w:i/>
          <w:iCs/>
          <w:sz w:val="24"/>
        </w:rPr>
        <w:t>Circulation</w:t>
      </w:r>
      <w:r w:rsidRPr="00B85FD6">
        <w:rPr>
          <w:rFonts w:ascii="Times New Roman" w:hAnsi="Times New Roman" w:cs="Times New Roman"/>
          <w:sz w:val="24"/>
        </w:rPr>
        <w:t xml:space="preserve"> </w:t>
      </w:r>
      <w:r w:rsidRPr="00B85FD6">
        <w:rPr>
          <w:rFonts w:ascii="Times New Roman" w:hAnsi="Times New Roman" w:cs="Times New Roman"/>
          <w:b/>
          <w:bCs/>
          <w:sz w:val="24"/>
        </w:rPr>
        <w:t>97</w:t>
      </w:r>
      <w:r w:rsidRPr="00B85FD6">
        <w:rPr>
          <w:rFonts w:ascii="Times New Roman" w:hAnsi="Times New Roman" w:cs="Times New Roman"/>
          <w:sz w:val="24"/>
        </w:rPr>
        <w:t>, 1837–1847 (1998).</w:t>
      </w:r>
    </w:p>
    <w:p w14:paraId="5FA7D51F"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17.</w:t>
      </w:r>
      <w:r w:rsidRPr="00B85FD6">
        <w:rPr>
          <w:rFonts w:ascii="Times New Roman" w:hAnsi="Times New Roman" w:cs="Times New Roman"/>
          <w:sz w:val="24"/>
        </w:rPr>
        <w:tab/>
        <w:t>Finn, C., Abbeel, P. &amp; Levine, S. Model-Agnostic Meta-Learning for Fast Adaptation of Deep Networks. Preprint at https://doi.org/10.48550/arXiv.1703.03400 (2017).</w:t>
      </w:r>
    </w:p>
    <w:p w14:paraId="44A80231"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lastRenderedPageBreak/>
        <w:t>18.</w:t>
      </w:r>
      <w:r w:rsidRPr="00B85FD6">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B85FD6">
        <w:rPr>
          <w:rFonts w:ascii="Times New Roman" w:hAnsi="Times New Roman" w:cs="Times New Roman"/>
          <w:i/>
          <w:iCs/>
          <w:sz w:val="24"/>
        </w:rPr>
        <w:t>Nat. Mach. Intell.</w:t>
      </w:r>
      <w:r w:rsidRPr="00B85FD6">
        <w:rPr>
          <w:rFonts w:ascii="Times New Roman" w:hAnsi="Times New Roman" w:cs="Times New Roman"/>
          <w:sz w:val="24"/>
        </w:rPr>
        <w:t xml:space="preserve"> </w:t>
      </w:r>
      <w:r w:rsidRPr="00B85FD6">
        <w:rPr>
          <w:rFonts w:ascii="Times New Roman" w:hAnsi="Times New Roman" w:cs="Times New Roman"/>
          <w:b/>
          <w:bCs/>
          <w:sz w:val="24"/>
        </w:rPr>
        <w:t>3</w:t>
      </w:r>
      <w:r w:rsidRPr="00B85FD6">
        <w:rPr>
          <w:rFonts w:ascii="Times New Roman" w:hAnsi="Times New Roman" w:cs="Times New Roman"/>
          <w:sz w:val="24"/>
        </w:rPr>
        <w:t>, 218–229 (2021).</w:t>
      </w:r>
    </w:p>
    <w:p w14:paraId="7C68FC45"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19.</w:t>
      </w:r>
      <w:r w:rsidRPr="00B85FD6">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B85FD6">
        <w:rPr>
          <w:rFonts w:ascii="Times New Roman" w:hAnsi="Times New Roman" w:cs="Times New Roman"/>
          <w:i/>
          <w:iCs/>
          <w:sz w:val="24"/>
        </w:rPr>
        <w:t>Sci. Rep.</w:t>
      </w:r>
      <w:r w:rsidRPr="00B85FD6">
        <w:rPr>
          <w:rFonts w:ascii="Times New Roman" w:hAnsi="Times New Roman" w:cs="Times New Roman"/>
          <w:sz w:val="24"/>
        </w:rPr>
        <w:t xml:space="preserve"> </w:t>
      </w:r>
      <w:r w:rsidRPr="00B85FD6">
        <w:rPr>
          <w:rFonts w:ascii="Times New Roman" w:hAnsi="Times New Roman" w:cs="Times New Roman"/>
          <w:b/>
          <w:bCs/>
          <w:sz w:val="24"/>
        </w:rPr>
        <w:t>13</w:t>
      </w:r>
      <w:r w:rsidRPr="00B85FD6">
        <w:rPr>
          <w:rFonts w:ascii="Times New Roman" w:hAnsi="Times New Roman" w:cs="Times New Roman"/>
          <w:sz w:val="24"/>
        </w:rPr>
        <w:t>, 4996 (2023).</w:t>
      </w:r>
    </w:p>
    <w:p w14:paraId="196BEF3F" w14:textId="00AB82D2"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0CCEF" w14:textId="77777777" w:rsidR="00AA05C6" w:rsidRDefault="00AA05C6" w:rsidP="0085301C">
      <w:pPr>
        <w:spacing w:after="0" w:line="240" w:lineRule="auto"/>
      </w:pPr>
      <w:r>
        <w:separator/>
      </w:r>
    </w:p>
  </w:endnote>
  <w:endnote w:type="continuationSeparator" w:id="0">
    <w:p w14:paraId="1128D2C8" w14:textId="77777777" w:rsidR="00AA05C6" w:rsidRDefault="00AA05C6"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3933D" w14:textId="77777777" w:rsidR="00AA05C6" w:rsidRDefault="00AA05C6" w:rsidP="0085301C">
      <w:pPr>
        <w:spacing w:after="0" w:line="240" w:lineRule="auto"/>
      </w:pPr>
      <w:r>
        <w:separator/>
      </w:r>
    </w:p>
  </w:footnote>
  <w:footnote w:type="continuationSeparator" w:id="0">
    <w:p w14:paraId="329C7327" w14:textId="77777777" w:rsidR="00AA05C6" w:rsidRDefault="00AA05C6"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37A8"/>
    <w:rsid w:val="000E0F5E"/>
    <w:rsid w:val="000F169D"/>
    <w:rsid w:val="000F50C4"/>
    <w:rsid w:val="000F5685"/>
    <w:rsid w:val="000F609A"/>
    <w:rsid w:val="00102773"/>
    <w:rsid w:val="0011230E"/>
    <w:rsid w:val="0011273C"/>
    <w:rsid w:val="00116678"/>
    <w:rsid w:val="00126E9F"/>
    <w:rsid w:val="00140BA7"/>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26774"/>
    <w:rsid w:val="0054092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5353"/>
    <w:rsid w:val="00A37277"/>
    <w:rsid w:val="00A407DB"/>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F0C26"/>
    <w:rsid w:val="00AF30B8"/>
    <w:rsid w:val="00AF4A0E"/>
    <w:rsid w:val="00B105D1"/>
    <w:rsid w:val="00B156A6"/>
    <w:rsid w:val="00B16191"/>
    <w:rsid w:val="00B3011D"/>
    <w:rsid w:val="00B337A6"/>
    <w:rsid w:val="00B42FFF"/>
    <w:rsid w:val="00B46EE1"/>
    <w:rsid w:val="00B51139"/>
    <w:rsid w:val="00B5338E"/>
    <w:rsid w:val="00B66335"/>
    <w:rsid w:val="00B67F38"/>
    <w:rsid w:val="00B832D3"/>
    <w:rsid w:val="00B85FD6"/>
    <w:rsid w:val="00BA02A4"/>
    <w:rsid w:val="00BB0523"/>
    <w:rsid w:val="00BC2460"/>
    <w:rsid w:val="00BC26FF"/>
    <w:rsid w:val="00BD789D"/>
    <w:rsid w:val="00BE4783"/>
    <w:rsid w:val="00BE5B0F"/>
    <w:rsid w:val="00BE686A"/>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B12"/>
    <w:rsid w:val="00C74BDA"/>
    <w:rsid w:val="00C7539E"/>
    <w:rsid w:val="00C80E1C"/>
    <w:rsid w:val="00C814A1"/>
    <w:rsid w:val="00C872F7"/>
    <w:rsid w:val="00C91639"/>
    <w:rsid w:val="00C94880"/>
    <w:rsid w:val="00C96644"/>
    <w:rsid w:val="00CA7C23"/>
    <w:rsid w:val="00CB24E6"/>
    <w:rsid w:val="00CB2B64"/>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69CB"/>
    <w:rsid w:val="00E276A0"/>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4575"/>
    <w:rsid w:val="00FA60D2"/>
    <w:rsid w:val="00FA6A44"/>
    <w:rsid w:val="00FB3EE9"/>
    <w:rsid w:val="00FC1FCB"/>
    <w:rsid w:val="00FD2538"/>
    <w:rsid w:val="00FD6CCA"/>
    <w:rsid w:val="00FE0A62"/>
    <w:rsid w:val="00FE112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13827</TotalTime>
  <Pages>19</Pages>
  <Words>16089</Words>
  <Characters>91709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328</cp:revision>
  <dcterms:created xsi:type="dcterms:W3CDTF">2024-03-01T20:43:00Z</dcterms:created>
  <dcterms:modified xsi:type="dcterms:W3CDTF">2024-12-07T23:32:00Z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