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FC9CBEA"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52812">
        <w:rPr>
          <w:rFonts w:ascii="Times New Roman" w:hAnsi="Times New Roman" w:cs="Times New Roman"/>
          <w:sz w:val="24"/>
          <w:szCs w:val="24"/>
        </w:rPr>
        <w:t xml:space="preserve">With these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that </w:t>
      </w:r>
      <w:r w:rsidR="00AC6942">
        <w:rPr>
          <w:rFonts w:ascii="Times New Roman" w:hAnsi="Times New Roman" w:cs="Times New Roman"/>
          <w:sz w:val="24"/>
          <w:szCs w:val="24"/>
        </w:rPr>
        <w:t xml:space="preserve">can </w:t>
      </w:r>
      <w:r w:rsidR="00852812">
        <w:rPr>
          <w:rFonts w:ascii="Times New Roman" w:hAnsi="Times New Roman" w:cs="Times New Roman"/>
          <w:sz w:val="24"/>
          <w:szCs w:val="24"/>
        </w:rPr>
        <w:t xml:space="preserve">compile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8EE649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CD2520">
        <w:rPr>
          <w:rFonts w:ascii="Times New Roman" w:hAnsi="Times New Roman" w:cs="Times New Roman"/>
          <w:sz w:val="24"/>
          <w:szCs w:val="24"/>
        </w:rPr>
        <w:t>ed</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from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4092A01B"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CD2520">
        <w:rPr>
          <w:rFonts w:ascii="Times New Roman" w:hAnsi="Times New Roman" w:cs="Times New Roman"/>
          <w:sz w:val="24"/>
          <w:szCs w:val="24"/>
        </w:rPr>
        <w:t xml:space="preserve"> to </w:t>
      </w:r>
      <w:r w:rsidR="00DB460A">
        <w:rPr>
          <w:rFonts w:ascii="Times New Roman" w:hAnsi="Times New Roman" w:cs="Times New Roman"/>
          <w:sz w:val="24"/>
          <w:szCs w:val="24"/>
        </w:rPr>
        <w:t>distort</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stable</w:t>
      </w:r>
      <w:r w:rsidR="00CD2520">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bottlenecks by learning</w:t>
      </w:r>
      <w:r w:rsidR="00CD2520">
        <w:rPr>
          <w:rFonts w:ascii="Times New Roman" w:hAnsi="Times New Roman" w:cs="Times New Roman"/>
          <w:sz w:val="24"/>
          <w:szCs w:val="24"/>
        </w:rPr>
        <w:t xml:space="preserve"> </w:t>
      </w:r>
      <w:r w:rsidR="00CD2520" w:rsidRPr="00FA4575">
        <w:rPr>
          <w:rFonts w:ascii="Times New Roman" w:hAnsi="Times New Roman" w:cs="Times New Roman"/>
          <w:sz w:val="24"/>
          <w:szCs w:val="24"/>
        </w:rPr>
        <w:t xml:space="preserve">temporal </w:t>
      </w:r>
      <w:r w:rsidR="00CD2520">
        <w:rPr>
          <w:rFonts w:ascii="Times New Roman" w:hAnsi="Times New Roman" w:cs="Times New Roman"/>
          <w:sz w:val="24"/>
          <w:szCs w:val="24"/>
        </w:rPr>
        <w:t xml:space="preserve">patterns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ne</w:t>
      </w:r>
      <w:r w:rsidR="00CD2520">
        <w:rPr>
          <w:rFonts w:ascii="Times New Roman" w:hAnsi="Times New Roman" w:cs="Times New Roman"/>
          <w:sz w:val="24"/>
          <w:szCs w:val="24"/>
        </w:rPr>
        <w:t>w</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p>
    <w:p w14:paraId="4CC8E1A1" w14:textId="00107A19" w:rsidR="00695CF3" w:rsidRDefault="00AB3746" w:rsidP="00695CF3">
      <w:pPr>
        <w:jc w:val="both"/>
        <w:rPr>
          <w:rFonts w:ascii="Times New Roman" w:hAnsi="Times New Roman" w:cs="Times New Roman"/>
          <w:sz w:val="24"/>
          <w:szCs w:val="24"/>
        </w:rPr>
      </w:pPr>
      <w:r>
        <w:rPr>
          <w:rFonts w:ascii="Times New Roman" w:hAnsi="Times New Roman" w:cs="Times New Roman"/>
          <w:sz w:val="24"/>
          <w:szCs w:val="24"/>
        </w:rPr>
        <w:t>Here, we</w:t>
      </w:r>
      <w:r w:rsidR="004115BC">
        <w:rPr>
          <w:rFonts w:ascii="Times New Roman" w:hAnsi="Times New Roman" w:cs="Times New Roman"/>
          <w:sz w:val="24"/>
          <w:szCs w:val="24"/>
        </w:rPr>
        <w:t xml:space="preserve"> address </w:t>
      </w:r>
      <w:r w:rsidR="0047738F">
        <w:rPr>
          <w:rFonts w:ascii="Times New Roman" w:hAnsi="Times New Roman" w:cs="Times New Roman"/>
          <w:sz w:val="24"/>
          <w:szCs w:val="24"/>
        </w:rPr>
        <w:t xml:space="preserve">the </w:t>
      </w:r>
      <w:r w:rsidR="009B04E5">
        <w:rPr>
          <w:rFonts w:ascii="Times New Roman" w:hAnsi="Times New Roman" w:cs="Times New Roman"/>
          <w:sz w:val="24"/>
          <w:szCs w:val="24"/>
        </w:rPr>
        <w:t>model’s input-output flexibility</w:t>
      </w:r>
      <w:r w:rsidR="004115BC">
        <w:rPr>
          <w:rFonts w:ascii="Times New Roman" w:hAnsi="Times New Roman" w:cs="Times New Roman"/>
          <w:sz w:val="24"/>
          <w:szCs w:val="24"/>
        </w:rPr>
        <w:t xml:space="preserve">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through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lastRenderedPageBreak/>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through Green’s method. </w:t>
      </w:r>
      <w:r w:rsidR="00616758">
        <w:rPr>
          <w:rFonts w:ascii="Times New Roman" w:hAnsi="Times New Roman" w:cs="Times New Roman"/>
          <w:sz w:val="24"/>
          <w:szCs w:val="24"/>
        </w:rPr>
        <w:t>Unlike ‘black-box’ machine learning approaches where the output is 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r w:rsidR="00616758">
        <w:rPr>
          <w:rFonts w:ascii="Times New Roman" w:hAnsi="Times New Roman" w:cs="Times New Roman"/>
          <w:sz w:val="24"/>
          <w:szCs w:val="24"/>
        </w:rPr>
        <w:t xml:space="preserve"> </w:t>
      </w:r>
      <w:r w:rsidR="00695CF3">
        <w:rPr>
          <w:rFonts w:ascii="Times New Roman" w:hAnsi="Times New Roman" w:cs="Times New Roman"/>
          <w:sz w:val="24"/>
          <w:szCs w:val="24"/>
        </w:rPr>
        <w:t>In this regard, observational models</w:t>
      </w:r>
      <w:r w:rsidR="00695CF3" w:rsidRPr="00DB460A">
        <w:rPr>
          <w:rFonts w:ascii="Times New Roman" w:hAnsi="Times New Roman" w:cs="Times New Roman"/>
          <w:sz w:val="24"/>
          <w:szCs w:val="24"/>
        </w:rPr>
        <w:t xml:space="preserve"> represent a robust, generalizable framework that links pretrained models with </w:t>
      </w:r>
      <w:r w:rsidR="00695CF3">
        <w:rPr>
          <w:rFonts w:ascii="Times New Roman" w:hAnsi="Times New Roman" w:cs="Times New Roman"/>
          <w:sz w:val="24"/>
          <w:szCs w:val="24"/>
        </w:rPr>
        <w:t>new</w:t>
      </w:r>
      <w:r w:rsidR="00695CF3" w:rsidRPr="00DB460A">
        <w:rPr>
          <w:rFonts w:ascii="Times New Roman" w:hAnsi="Times New Roman" w:cs="Times New Roman"/>
          <w:sz w:val="24"/>
          <w:szCs w:val="24"/>
        </w:rPr>
        <w:t xml:space="preserve"> experimental biomarkers and stressors, enabling clinically actionable insights for </w:t>
      </w:r>
      <w:r w:rsidR="00695CF3">
        <w:rPr>
          <w:rFonts w:ascii="Times New Roman" w:hAnsi="Times New Roman" w:cs="Times New Roman"/>
          <w:sz w:val="24"/>
          <w:szCs w:val="24"/>
        </w:rPr>
        <w:t>HEAR models.</w:t>
      </w:r>
    </w:p>
    <w:p w14:paraId="70AEAC61" w14:textId="2E1F0FB2" w:rsidR="00AB3746" w:rsidRPr="006F5E88" w:rsidRDefault="00AB3746" w:rsidP="00AB3746">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actionable in-home mental health interventions based on clinical STAI-Y2 emotions. Previous advancements in E-skin have found that i</w:t>
      </w:r>
      <w:r w:rsidRPr="006F5E88">
        <w:rPr>
          <w:rFonts w:ascii="Times New Roman" w:hAnsi="Times New Roman" w:cs="Times New Roman"/>
          <w:sz w:val="24"/>
          <w:szCs w:val="24"/>
        </w:rPr>
        <w:t>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w:t>
      </w:r>
      <w:proofErr w:type="spellStart"/>
      <w:r w:rsidRPr="006F5E88">
        <w:rPr>
          <w:rFonts w:ascii="Times New Roman" w:hAnsi="Times New Roman" w:cs="Times New Roman"/>
          <w:sz w:val="24"/>
          <w:szCs w:val="24"/>
        </w:rPr>
        <w:t>AgNWs</w:t>
      </w:r>
      <w:proofErr w:type="spellEnd"/>
      <w:r w:rsidRPr="006F5E88">
        <w:rPr>
          <w:rFonts w:ascii="Times New Roman" w:hAnsi="Times New Roman" w:cs="Times New Roman"/>
          <w:sz w:val="24"/>
          <w:szCs w:val="24"/>
        </w:rPr>
        <w:t>)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7C69BBC4" w:rsidR="00821C02"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upon linking to the meta-learning model that was co-trained across four out-of-domain </w:t>
      </w:r>
      <w:r w:rsidR="00115E7B">
        <w:rPr>
          <w:rFonts w:ascii="Times New Roman" w:hAnsi="Times New Roman" w:cs="Times New Roman"/>
          <w:sz w:val="24"/>
          <w:szCs w:val="24"/>
        </w:rPr>
        <w:t xml:space="preserve">datasets, demonstrating the capabilities of observational models to accommodate </w:t>
      </w:r>
      <w:r w:rsidR="00AC6942">
        <w:rPr>
          <w:rFonts w:ascii="Times New Roman" w:hAnsi="Times New Roman" w:cs="Times New Roman"/>
          <w:sz w:val="24"/>
          <w:szCs w:val="24"/>
        </w:rPr>
        <w:t xml:space="preserve">niche </w:t>
      </w:r>
      <w:r w:rsidR="00115E7B">
        <w:rPr>
          <w:rFonts w:ascii="Times New Roman" w:hAnsi="Times New Roman" w:cs="Times New Roman"/>
          <w:sz w:val="24"/>
          <w:szCs w:val="24"/>
        </w:rPr>
        <w:t>research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We validate the model’s flexibility to small academic datasets through </w:t>
      </w:r>
      <w:r w:rsidR="00135223">
        <w:rPr>
          <w:rFonts w:ascii="Times New Roman" w:hAnsi="Times New Roman" w:cs="Times New Roman"/>
          <w:sz w:val="24"/>
          <w:szCs w:val="24"/>
        </w:rPr>
        <w:t xml:space="preserve">few-shot learning </w:t>
      </w:r>
      <w:r w:rsidR="00115E7B">
        <w:rPr>
          <w:rFonts w:ascii="Times New Roman" w:hAnsi="Times New Roman" w:cs="Times New Roman"/>
          <w:sz w:val="24"/>
          <w:szCs w:val="24"/>
        </w:rPr>
        <w:t xml:space="preserve">on </w:t>
      </w:r>
      <w:r w:rsidR="00135223">
        <w:rPr>
          <w:rFonts w:ascii="Times New Roman" w:hAnsi="Times New Roman" w:cs="Times New Roman"/>
          <w:sz w:val="24"/>
          <w:szCs w:val="24"/>
        </w:rPr>
        <w:t>60 examples</w:t>
      </w:r>
      <w:r w:rsidR="00115E7B">
        <w:rPr>
          <w:rFonts w:ascii="Times New Roman" w:hAnsi="Times New Roman" w:cs="Times New Roman"/>
          <w:sz w:val="24"/>
          <w:szCs w:val="24"/>
        </w:rPr>
        <w:t xml:space="preserve"> from the WESAD dataset</w:t>
      </w:r>
      <w:r w:rsidR="00135223">
        <w:rPr>
          <w:rFonts w:ascii="Times New Roman" w:hAnsi="Times New Roman" w:cs="Times New Roman"/>
          <w:sz w:val="24"/>
          <w:szCs w:val="24"/>
        </w:rPr>
        <w:t>.</w:t>
      </w:r>
      <w:r w:rsidR="00FE4390" w:rsidRPr="00AD084E">
        <w:rPr>
          <w:rFonts w:ascii="Times New Roman" w:hAnsi="Times New Roman" w:cs="Times New Roman"/>
          <w:sz w:val="24"/>
          <w:szCs w:val="24"/>
        </w:rPr>
        <w:t xml:space="preserve"> </w:t>
      </w:r>
      <w:r w:rsidR="00115E7B">
        <w:rPr>
          <w:rFonts w:ascii="Times New Roman" w:hAnsi="Times New Roman" w:cs="Times New Roman"/>
          <w:sz w:val="24"/>
          <w:szCs w:val="24"/>
        </w:rPr>
        <w:t xml:space="preserve">We </w:t>
      </w:r>
      <w:r w:rsidR="00AC6942">
        <w:rPr>
          <w:rFonts w:ascii="Times New Roman" w:hAnsi="Times New Roman" w:cs="Times New Roman"/>
          <w:sz w:val="24"/>
          <w:szCs w:val="24"/>
        </w:rPr>
        <w:t xml:space="preserve">additionally </w:t>
      </w:r>
      <w:r w:rsidR="00115E7B">
        <w:rPr>
          <w:rFonts w:ascii="Times New Roman" w:hAnsi="Times New Roman" w:cs="Times New Roman"/>
          <w:sz w:val="24"/>
          <w:szCs w:val="24"/>
        </w:rPr>
        <w:t xml:space="preserve">demonstrated in-home closed-loop therapy </w:t>
      </w:r>
      <w:r w:rsidR="00FE4390" w:rsidRPr="00AD084E">
        <w:rPr>
          <w:rFonts w:ascii="Times New Roman" w:hAnsi="Times New Roman" w:cs="Times New Roman"/>
          <w:sz w:val="24"/>
          <w:szCs w:val="24"/>
        </w:rPr>
        <w:t xml:space="preserve">through generative </w:t>
      </w:r>
      <w:r w:rsidR="00FE4390">
        <w:rPr>
          <w:rFonts w:ascii="Times New Roman" w:hAnsi="Times New Roman" w:cs="Times New Roman"/>
          <w:sz w:val="24"/>
          <w:szCs w:val="24"/>
        </w:rPr>
        <w:t>visual, audio, haptic</w:t>
      </w:r>
      <w:r w:rsidR="00135223">
        <w:rPr>
          <w:rFonts w:ascii="Times New Roman" w:hAnsi="Times New Roman" w:cs="Times New Roman"/>
          <w:sz w:val="24"/>
          <w:szCs w:val="24"/>
        </w:rPr>
        <w:t>, and holographic</w:t>
      </w:r>
      <w:r w:rsidR="00FE4390">
        <w:rPr>
          <w:rFonts w:ascii="Times New Roman" w:hAnsi="Times New Roman" w:cs="Times New Roman"/>
          <w:sz w:val="24"/>
          <w:szCs w:val="24"/>
        </w:rPr>
        <w:t xml:space="preserve"> feedback</w:t>
      </w:r>
      <w:r w:rsidR="00135223">
        <w:rPr>
          <w:rFonts w:ascii="Times New Roman" w:hAnsi="Times New Roman" w:cs="Times New Roman"/>
          <w:sz w:val="24"/>
          <w:szCs w:val="24"/>
        </w:rPr>
        <w:t xml:space="preserve">, </w:t>
      </w:r>
      <w:r w:rsidR="00115E7B">
        <w:rPr>
          <w:rFonts w:ascii="Times New Roman" w:hAnsi="Times New Roman" w:cs="Times New Roman"/>
          <w:sz w:val="24"/>
          <w:szCs w:val="24"/>
        </w:rPr>
        <w:t xml:space="preserve">where each therapeutic modality targeted </w:t>
      </w:r>
      <w:r w:rsidR="00135223">
        <w:rPr>
          <w:rFonts w:ascii="Times New Roman" w:hAnsi="Times New Roman" w:cs="Times New Roman"/>
          <w:sz w:val="24"/>
          <w:szCs w:val="24"/>
        </w:rPr>
        <w:t>different positive (PA) and negative (NA) affective emotions.</w:t>
      </w:r>
      <w:r w:rsidR="00115E7B">
        <w:rPr>
          <w:rFonts w:ascii="Times New Roman" w:hAnsi="Times New Roman" w:cs="Times New Roman"/>
          <w:sz w:val="24"/>
          <w:szCs w:val="24"/>
        </w:rPr>
        <w:t xml:space="preserve"> </w:t>
      </w:r>
      <w:r w:rsidR="00FE4390" w:rsidRPr="00AD084E">
        <w:rPr>
          <w:rFonts w:ascii="Times New Roman" w:hAnsi="Times New Roman" w:cs="Times New Roman"/>
          <w:sz w:val="24"/>
          <w:szCs w:val="24"/>
        </w:rPr>
        <w:t xml:space="preserve">This validation not only supports Ekman’s theoretical framework </w:t>
      </w:r>
      <w:r w:rsidR="00115E7B">
        <w:rPr>
          <w:rFonts w:ascii="Times New Roman" w:hAnsi="Times New Roman" w:cs="Times New Roman"/>
          <w:sz w:val="24"/>
          <w:szCs w:val="24"/>
        </w:rPr>
        <w:t xml:space="preserve">for </w:t>
      </w:r>
      <w:r w:rsidR="00FE4390" w:rsidRPr="00AD084E">
        <w:rPr>
          <w:rFonts w:ascii="Times New Roman" w:hAnsi="Times New Roman" w:cs="Times New Roman"/>
          <w:sz w:val="24"/>
          <w:szCs w:val="24"/>
        </w:rPr>
        <w:t xml:space="preserve">linking </w:t>
      </w:r>
      <w:r w:rsidR="00115E7B">
        <w:rPr>
          <w:rFonts w:ascii="Times New Roman" w:hAnsi="Times New Roman" w:cs="Times New Roman"/>
          <w:sz w:val="24"/>
          <w:szCs w:val="24"/>
        </w:rPr>
        <w:t xml:space="preserve">universal </w:t>
      </w:r>
      <w:r w:rsidR="00FE4390" w:rsidRPr="00AD084E">
        <w:rPr>
          <w:rFonts w:ascii="Times New Roman" w:hAnsi="Times New Roman" w:cs="Times New Roman"/>
          <w:sz w:val="24"/>
          <w:szCs w:val="24"/>
        </w:rPr>
        <w:t>physiological and psychological domains</w:t>
      </w:r>
      <w:r w:rsidR="00115E7B">
        <w:rPr>
          <w:rFonts w:ascii="Times New Roman" w:hAnsi="Times New Roman" w:cs="Times New Roman"/>
          <w:sz w:val="24"/>
          <w:szCs w:val="24"/>
        </w:rPr>
        <w:t>,</w:t>
      </w:r>
      <w:r w:rsidR="00FE4390" w:rsidRPr="00AD084E">
        <w:rPr>
          <w:rFonts w:ascii="Times New Roman" w:hAnsi="Times New Roman" w:cs="Times New Roman"/>
          <w:sz w:val="24"/>
          <w:szCs w:val="24"/>
        </w:rPr>
        <w:t xml:space="preserve"> but </w:t>
      </w:r>
      <w:r w:rsidR="00115E7B">
        <w:rPr>
          <w:rFonts w:ascii="Times New Roman" w:hAnsi="Times New Roman" w:cs="Times New Roman"/>
          <w:sz w:val="24"/>
          <w:szCs w:val="24"/>
        </w:rPr>
        <w:t xml:space="preserve">it </w:t>
      </w:r>
      <w:r w:rsidR="00FE4390" w:rsidRPr="00AD084E">
        <w:rPr>
          <w:rFonts w:ascii="Times New Roman" w:hAnsi="Times New Roman" w:cs="Times New Roman"/>
          <w:sz w:val="24"/>
          <w:szCs w:val="24"/>
        </w:rPr>
        <w:t>also establishes a new benchmark for closed-loop personalized therapeutic interventions, paving the way for automated, in-home, tailored mental health therapies.</w:t>
      </w:r>
      <w:r w:rsidR="00FE4390">
        <w:rPr>
          <w:rFonts w:ascii="Times New Roman" w:hAnsi="Times New Roman" w:cs="Times New Roman"/>
          <w:sz w:val="24"/>
          <w:szCs w:val="24"/>
        </w:rPr>
        <w:t xml:space="preserve"> </w:t>
      </w:r>
      <w:r w:rsidR="00115E7B">
        <w:rPr>
          <w:rFonts w:ascii="Times New Roman" w:hAnsi="Times New Roman" w:cs="Times New Roman"/>
          <w:sz w:val="24"/>
          <w:szCs w:val="24"/>
        </w:rPr>
        <w:t xml:space="preserve">Further integration of fragmented datasets from the literature will improve our understanding of physiologically based emotions through the first </w:t>
      </w:r>
      <w:r w:rsidR="00FE4390" w:rsidRPr="00AD084E">
        <w:rPr>
          <w:rFonts w:ascii="Times New Roman" w:hAnsi="Times New Roman" w:cs="Times New Roman"/>
          <w:sz w:val="24"/>
          <w:szCs w:val="24"/>
        </w:rPr>
        <w:t xml:space="preserve">domain-agnostic </w:t>
      </w:r>
      <w:r w:rsidR="00FE4390">
        <w:rPr>
          <w:rFonts w:ascii="Times New Roman" w:hAnsi="Times New Roman" w:cs="Times New Roman"/>
          <w:sz w:val="24"/>
          <w:szCs w:val="24"/>
        </w:rPr>
        <w:t xml:space="preserve">psychophysiological </w:t>
      </w:r>
      <w:r w:rsidR="00FE4390" w:rsidRPr="00AD084E">
        <w:rPr>
          <w:rFonts w:ascii="Times New Roman" w:hAnsi="Times New Roman" w:cs="Times New Roman"/>
          <w:sz w:val="24"/>
          <w:szCs w:val="24"/>
        </w:rPr>
        <w:t>model.</w:t>
      </w:r>
    </w:p>
    <w:p w14:paraId="540B34D9" w14:textId="77777777" w:rsidR="00E26705" w:rsidRDefault="00E26705" w:rsidP="00115E7B">
      <w:pPr>
        <w:jc w:val="both"/>
        <w:rPr>
          <w:rFonts w:ascii="Times New Roman" w:hAnsi="Times New Roman" w:cs="Times New Roman"/>
          <w:sz w:val="24"/>
          <w:szCs w:val="24"/>
        </w:rPr>
      </w:pPr>
    </w:p>
    <w:p w14:paraId="4497943A" w14:textId="77777777" w:rsidR="00E26705" w:rsidRDefault="00E26705" w:rsidP="00115E7B">
      <w:pPr>
        <w:jc w:val="both"/>
        <w:rPr>
          <w:rFonts w:ascii="Times New Roman" w:hAnsi="Times New Roman" w:cs="Times New Roman"/>
          <w:sz w:val="24"/>
          <w:szCs w:val="24"/>
        </w:rPr>
      </w:pPr>
    </w:p>
    <w:p w14:paraId="5216E5B7" w14:textId="77777777" w:rsidR="00E26705" w:rsidRDefault="00E26705" w:rsidP="00115E7B">
      <w:pPr>
        <w:jc w:val="both"/>
        <w:rPr>
          <w:rFonts w:ascii="Times New Roman" w:hAnsi="Times New Roman" w:cs="Times New Roman"/>
          <w:sz w:val="24"/>
          <w:szCs w:val="24"/>
        </w:rPr>
      </w:pPr>
    </w:p>
    <w:p w14:paraId="29BECFBD" w14:textId="77777777" w:rsidR="00E26705" w:rsidRDefault="00E26705" w:rsidP="00115E7B">
      <w:pPr>
        <w:jc w:val="both"/>
        <w:rPr>
          <w:rFonts w:ascii="Times New Roman" w:hAnsi="Times New Roman" w:cs="Times New Roman"/>
          <w:sz w:val="24"/>
          <w:szCs w:val="24"/>
        </w:rPr>
      </w:pPr>
    </w:p>
    <w:p w14:paraId="28D0EABF" w14:textId="77777777" w:rsidR="00E26705" w:rsidRDefault="00E26705"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4B82A015"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9DD4D11" w14:textId="08761AD9"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p>
    <w:p w14:paraId="6A6105C9" w14:textId="5778092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ECF4AF9" w14:textId="77777777" w:rsidR="008544BC" w:rsidRDefault="008544BC"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w:t>
      </w:r>
      <w:r>
        <w:rPr>
          <w:rFonts w:ascii="Times New Roman" w:hAnsi="Times New Roman" w:cs="Times New Roman"/>
          <w:sz w:val="24"/>
          <w:szCs w:val="24"/>
        </w:rPr>
        <w:lastRenderedPageBreak/>
        <w:t xml:space="preserve">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w:t>
      </w:r>
      <w:r w:rsidRPr="00AD084E">
        <w:rPr>
          <w:rFonts w:ascii="Times New Roman" w:hAnsi="Times New Roman" w:cs="Times New Roman"/>
          <w:sz w:val="24"/>
          <w:szCs w:val="24"/>
        </w:rPr>
        <w:lastRenderedPageBreak/>
        <w:t>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GoEmotions: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Jurafsky, D., Chai, J., Schluter, N. &amp; Tetreault, J.) 4040–4054 (Association for Computational Linguistics, Online, 2020). doi:10.18653/v1/2020.acl-main.372.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Acta Fac. Medicae Naissensis</w:t>
      </w:r>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BMC Med. Res. Methodol.</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852812">
        <w:rPr>
          <w:rFonts w:ascii="Times New Roman" w:hAnsi="Times New Roman" w:cs="Times New Roman"/>
          <w:i/>
          <w:iCs/>
          <w:sz w:val="24"/>
        </w:rPr>
        <w:t>Procedia - Soc. Behav.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Finn, C., Abbeel,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t xml:space="preserve">Virmaux,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F1DD0" w14:textId="77777777" w:rsidR="00CD34A6" w:rsidRDefault="00CD34A6" w:rsidP="0085301C">
      <w:pPr>
        <w:spacing w:after="0" w:line="240" w:lineRule="auto"/>
      </w:pPr>
      <w:r>
        <w:separator/>
      </w:r>
    </w:p>
  </w:endnote>
  <w:endnote w:type="continuationSeparator" w:id="0">
    <w:p w14:paraId="30ABE097" w14:textId="77777777" w:rsidR="00CD34A6" w:rsidRDefault="00CD34A6"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0B2D7" w14:textId="77777777" w:rsidR="00CD34A6" w:rsidRDefault="00CD34A6" w:rsidP="0085301C">
      <w:pPr>
        <w:spacing w:after="0" w:line="240" w:lineRule="auto"/>
      </w:pPr>
      <w:r>
        <w:separator/>
      </w:r>
    </w:p>
  </w:footnote>
  <w:footnote w:type="continuationSeparator" w:id="0">
    <w:p w14:paraId="2CDD98EF" w14:textId="77777777" w:rsidR="00CD34A6" w:rsidRDefault="00CD34A6"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2425"/>
    <w:rsid w:val="00161C89"/>
    <w:rsid w:val="00171AED"/>
    <w:rsid w:val="00174FA5"/>
    <w:rsid w:val="00182F77"/>
    <w:rsid w:val="00185E3F"/>
    <w:rsid w:val="00187099"/>
    <w:rsid w:val="00192084"/>
    <w:rsid w:val="00193473"/>
    <w:rsid w:val="00196A63"/>
    <w:rsid w:val="001B13F6"/>
    <w:rsid w:val="001B6954"/>
    <w:rsid w:val="001C1578"/>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B3746"/>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520"/>
    <w:rsid w:val="00CD34A6"/>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14753</TotalTime>
  <Pages>1</Pages>
  <Words>22004</Words>
  <Characters>125428</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593</cp:revision>
  <dcterms:created xsi:type="dcterms:W3CDTF">2024-03-01T20:43:00Z</dcterms:created>
  <dcterms:modified xsi:type="dcterms:W3CDTF">2024-12-20T20:29:00Z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