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0BEB7E05"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355E6D50"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486FE8C8"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740B90">
        <w:rPr>
          <w:rFonts w:ascii="Arial" w:hAnsi="Arial" w:cs="Arial"/>
        </w:rPr>
        <w:t xml:space="preserve">different </w:t>
      </w:r>
      <w:r w:rsidRPr="00D46008">
        <w:rPr>
          <w:rFonts w:ascii="Arial" w:hAnsi="Arial" w:cs="Arial"/>
        </w:rPr>
        <w:t>physiological data</w:t>
      </w:r>
      <w:r w:rsidR="00740B90">
        <w:rPr>
          <w:rFonts w:ascii="Arial" w:hAnsi="Arial" w:cs="Arial"/>
        </w:rPr>
        <w:t>sets</w:t>
      </w:r>
      <w:r w:rsidRPr="00D46008">
        <w:rPr>
          <w:rFonts w:ascii="Arial" w:hAnsi="Arial" w:cs="Arial"/>
        </w:rPr>
        <w:t>,</w:t>
      </w:r>
      <w:r w:rsidR="00646B0A">
        <w:rPr>
          <w:rFonts w:ascii="Arial" w:hAnsi="Arial" w:cs="Arial"/>
        </w:rPr>
        <w:t xml:space="preserve"> collected across unique emotional stimuli;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novel neural architecture called Observational Learning for </w:t>
      </w:r>
      <w:r w:rsidR="00646B0A" w:rsidRPr="00D46008">
        <w:rPr>
          <w:rFonts w:ascii="Arial" w:hAnsi="Arial" w:cs="Arial"/>
        </w:rPr>
        <w:t>combining</w:t>
      </w:r>
      <w:r w:rsidRPr="00D46008">
        <w:rPr>
          <w:rFonts w:ascii="Arial" w:hAnsi="Arial" w:cs="Arial"/>
        </w:rPr>
        <w:t xml:space="preserve"> </w:t>
      </w:r>
      <w:r w:rsidR="00646B0A">
        <w:rPr>
          <w:rFonts w:ascii="Arial" w:hAnsi="Arial" w:cs="Arial"/>
        </w:rPr>
        <w:t xml:space="preserve">separate </w:t>
      </w:r>
      <w:r w:rsidRPr="00D46008">
        <w:rPr>
          <w:rFonts w:ascii="Arial" w:hAnsi="Arial" w:cs="Arial"/>
        </w:rPr>
        <w:t xml:space="preserve">physiological biomarkers </w:t>
      </w:r>
      <w:r w:rsidR="00646B0A">
        <w:rPr>
          <w:rFonts w:ascii="Arial" w:hAnsi="Arial" w:cs="Arial"/>
        </w:rPr>
        <w:t xml:space="preserve">that enabled researchers to merge </w:t>
      </w:r>
      <w:r w:rsidR="00740B90">
        <w:rPr>
          <w:rFonts w:ascii="Arial" w:hAnsi="Arial" w:cs="Arial"/>
        </w:rPr>
        <w:t>fragmented out-of-domain emotional datasets</w:t>
      </w:r>
      <w:r w:rsidR="00646B0A">
        <w:rPr>
          <w:rFonts w:ascii="Arial" w:hAnsi="Arial" w:cs="Arial"/>
        </w:rPr>
        <w:t xml:space="preserve"> that currently cannot be meta-trained together due to v</w:t>
      </w:r>
      <w:r w:rsidRPr="00D46008">
        <w:rPr>
          <w:rFonts w:ascii="Arial" w:hAnsi="Arial" w:cs="Arial"/>
        </w:rPr>
        <w:t xml:space="preserve">arying sampling </w:t>
      </w:r>
      <w:r w:rsidR="00646B0A">
        <w:rPr>
          <w:rFonts w:ascii="Arial" w:hAnsi="Arial" w:cs="Arial"/>
        </w:rPr>
        <w:t>frequencies</w:t>
      </w:r>
      <w:r w:rsidRPr="00D46008">
        <w:rPr>
          <w:rFonts w:ascii="Arial" w:hAnsi="Arial" w:cs="Arial"/>
        </w:rPr>
        <w:t xml:space="preserve"> and incomplete </w:t>
      </w:r>
      <w:r w:rsidR="00646B0A">
        <w:rPr>
          <w:rFonts w:ascii="Arial" w:hAnsi="Arial" w:cs="Arial"/>
        </w:rPr>
        <w:t>feature sets</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enhancing the precision of 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1D13F3E1"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w:t>
      </w:r>
      <w:r w:rsidR="00931AB2">
        <w:rPr>
          <w:rFonts w:ascii="Arial" w:hAnsi="Arial" w:cs="Arial"/>
        </w:rPr>
        <w:t>state</w:t>
      </w:r>
      <w:r w:rsidRPr="00ED41C9">
        <w:rPr>
          <w:rFonts w:ascii="Arial" w:hAnsi="Arial" w:cs="Arial"/>
        </w:rPr>
        <w:t xml:space="preserve">, yet </w:t>
      </w:r>
      <w:r w:rsidR="00931AB2">
        <w:rPr>
          <w:rFonts w:ascii="Arial" w:hAnsi="Arial" w:cs="Arial"/>
        </w:rPr>
        <w:t>associating</w:t>
      </w:r>
      <w:r w:rsidRPr="00ED41C9">
        <w:rPr>
          <w:rFonts w:ascii="Arial" w:hAnsi="Arial" w:cs="Arial"/>
        </w:rPr>
        <w:t xml:space="preserve"> </w:t>
      </w:r>
      <w:r w:rsidR="00931AB2">
        <w:rPr>
          <w:rFonts w:ascii="Arial" w:hAnsi="Arial" w:cs="Arial"/>
        </w:rPr>
        <w:t xml:space="preserve">time-dependent </w:t>
      </w:r>
      <w:r w:rsidRPr="00ED41C9">
        <w:rPr>
          <w:rFonts w:ascii="Arial" w:hAnsi="Arial" w:cs="Arial"/>
        </w:rPr>
        <w:t xml:space="preserve">biometric patterns </w:t>
      </w:r>
      <w:r w:rsidR="00901EE9">
        <w:rPr>
          <w:rFonts w:ascii="Arial" w:hAnsi="Arial" w:cs="Arial"/>
        </w:rPr>
        <w:t>with</w:t>
      </w:r>
      <w:r w:rsidRPr="00ED41C9">
        <w:rPr>
          <w:rFonts w:ascii="Arial" w:hAnsi="Arial" w:cs="Arial"/>
        </w:rPr>
        <w:t xml:space="preserve"> affective </w:t>
      </w:r>
      <w:r w:rsidR="00931AB2" w:rsidRPr="00ED41C9">
        <w:rPr>
          <w:rFonts w:ascii="Arial" w:hAnsi="Arial" w:cs="Arial"/>
        </w:rPr>
        <w:t>experience</w:t>
      </w:r>
      <w:r w:rsidR="00931AB2">
        <w:rPr>
          <w:rFonts w:ascii="Arial" w:hAnsi="Arial" w:cs="Arial"/>
        </w:rPr>
        <w:t xml:space="preserve">s </w:t>
      </w:r>
      <w:r w:rsidRPr="00ED41C9">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Pr>
          <w:rFonts w:ascii="Arial" w:hAnsi="Arial" w:cs="Arial"/>
        </w:rPr>
        <w:t xml:space="preserve">in 1872, </w:t>
      </w:r>
      <w:r w:rsidRPr="00ED41C9">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Pr>
          <w:rFonts w:ascii="Arial" w:hAnsi="Arial" w:cs="Arial"/>
        </w:rPr>
        <w:t>correlations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w:t>
      </w:r>
      <w:r w:rsidR="00990B7A">
        <w:rPr>
          <w:rFonts w:ascii="Arial" w:hAnsi="Arial" w:cs="Arial"/>
        </w:rPr>
        <w:t xml:space="preserve"> With the</w:t>
      </w:r>
      <w:r w:rsidR="00901EE9">
        <w:rPr>
          <w:rFonts w:ascii="Arial" w:hAnsi="Arial" w:cs="Arial"/>
        </w:rPr>
        <w:t xml:space="preserve"> </w:t>
      </w:r>
      <w:r w:rsidR="00E91C9C">
        <w:rPr>
          <w:rFonts w:ascii="Arial" w:hAnsi="Arial" w:cs="Arial"/>
        </w:rPr>
        <w:t>r</w:t>
      </w:r>
      <w:r w:rsidRPr="00ED41C9">
        <w:rPr>
          <w:rFonts w:ascii="Arial" w:hAnsi="Arial" w:cs="Arial"/>
        </w:rPr>
        <w:t xml:space="preserve">ecent </w:t>
      </w:r>
      <w:r w:rsidR="005D040E" w:rsidRPr="00ED41C9">
        <w:rPr>
          <w:rFonts w:ascii="Arial" w:hAnsi="Arial" w:cs="Arial"/>
        </w:rPr>
        <w:lastRenderedPageBreak/>
        <w:t>improvements</w:t>
      </w:r>
      <w:r w:rsidRPr="00ED41C9">
        <w:rPr>
          <w:rFonts w:ascii="Arial" w:hAnsi="Arial" w:cs="Arial"/>
        </w:rPr>
        <w:t xml:space="preserve"> in text-based sentiment analysis</w:t>
      </w:r>
      <w:r w:rsidR="00990B7A">
        <w:rPr>
          <w:rFonts w:ascii="Arial" w:hAnsi="Arial" w:cs="Arial"/>
        </w:rPr>
        <w:t xml:space="preserve"> that</w:t>
      </w:r>
      <w:r w:rsidRPr="00ED41C9">
        <w:rPr>
          <w:rFonts w:ascii="Arial" w:hAnsi="Arial" w:cs="Arial"/>
        </w:rPr>
        <w:t xml:space="preserve"> have</w:t>
      </w:r>
      <w:r w:rsidR="00901EE9">
        <w:rPr>
          <w:rFonts w:ascii="Arial" w:hAnsi="Arial" w:cs="Arial"/>
        </w:rPr>
        <w:t xml:space="preserve"> </w:t>
      </w:r>
      <w:r w:rsidRPr="00ED41C9">
        <w:rPr>
          <w:rFonts w:ascii="Arial" w:hAnsi="Arial" w:cs="Arial"/>
        </w:rPr>
        <w:t xml:space="preserve">enabled models to capture affective cues within longer sentences, researchers </w:t>
      </w:r>
      <w:r w:rsidR="00990B7A">
        <w:rPr>
          <w:rFonts w:ascii="Arial" w:hAnsi="Arial" w:cs="Arial"/>
        </w:rPr>
        <w:t>have begun to</w:t>
      </w:r>
      <w:r w:rsidRPr="00ED41C9">
        <w:rPr>
          <w:rFonts w:ascii="Arial" w:hAnsi="Arial" w:cs="Arial"/>
        </w:rPr>
        <w:t xml:space="preserve"> revisit </w:t>
      </w:r>
      <w:r w:rsidR="005D040E">
        <w:rPr>
          <w:rFonts w:ascii="Arial" w:hAnsi="Arial" w:cs="Arial"/>
        </w:rPr>
        <w:t xml:space="preserve">the problem of decoding </w:t>
      </w:r>
      <w:r w:rsidRPr="00ED41C9">
        <w:rPr>
          <w:rFonts w:ascii="Arial" w:hAnsi="Arial" w:cs="Arial"/>
        </w:rPr>
        <w:t>physiological-based emotion</w:t>
      </w:r>
      <w:r w:rsidR="005D040E">
        <w:rPr>
          <w:rFonts w:ascii="Arial" w:hAnsi="Arial" w:cs="Arial"/>
        </w:rPr>
        <w:t>s</w:t>
      </w:r>
      <w:r w:rsidRPr="00ED41C9">
        <w:rPr>
          <w:rFonts w:ascii="Arial" w:hAnsi="Arial" w:cs="Arial"/>
        </w:rPr>
        <w:t xml:space="preserve"> across broader</w:t>
      </w:r>
      <w:r w:rsidR="00901EE9">
        <w:rPr>
          <w:rFonts w:ascii="Arial" w:hAnsi="Arial" w:cs="Arial"/>
        </w:rPr>
        <w:t xml:space="preserve"> </w:t>
      </w:r>
      <w:r w:rsidRPr="00ED41C9">
        <w:rPr>
          <w:rFonts w:ascii="Arial" w:hAnsi="Arial" w:cs="Arial"/>
        </w:rPr>
        <w:t>time windows</w:t>
      </w:r>
      <w:r w:rsidR="00901EE9">
        <w:rPr>
          <w:rFonts w:ascii="Arial" w:hAnsi="Arial" w:cs="Arial"/>
        </w:rPr>
        <w:t xml:space="preserve"> </w:t>
      </w:r>
      <w:r w:rsidR="005D040E">
        <w:rPr>
          <w:rFonts w:ascii="Arial" w:hAnsi="Arial" w:cs="Arial"/>
        </w:rPr>
        <w:t>with</w:t>
      </w:r>
      <w:r w:rsidR="00901EE9">
        <w:rPr>
          <w:rFonts w:ascii="Arial" w:hAnsi="Arial" w:cs="Arial"/>
        </w:rPr>
        <w:t xml:space="preserve"> </w:t>
      </w:r>
      <w:r w:rsidR="005D040E">
        <w:rPr>
          <w:rFonts w:ascii="Arial" w:hAnsi="Arial" w:cs="Arial"/>
        </w:rPr>
        <w:t>obscure</w:t>
      </w:r>
      <w:r w:rsidR="00901EE9">
        <w:rPr>
          <w:rFonts w:ascii="Arial" w:hAnsi="Arial" w:cs="Arial"/>
        </w:rPr>
        <w:t xml:space="preserve"> </w:t>
      </w:r>
      <w:r w:rsidR="00990B7A">
        <w:rPr>
          <w:rFonts w:ascii="Arial" w:hAnsi="Arial" w:cs="Arial"/>
        </w:rPr>
        <w:t>biometric</w:t>
      </w:r>
      <w:r w:rsidR="00901EE9" w:rsidRPr="00ED41C9">
        <w:rPr>
          <w:rFonts w:ascii="Arial" w:hAnsi="Arial" w:cs="Arial"/>
        </w:rPr>
        <w:t xml:space="preserve"> </w:t>
      </w:r>
      <w:r w:rsidR="00901EE9">
        <w:rPr>
          <w:rFonts w:ascii="Arial" w:hAnsi="Arial" w:cs="Arial"/>
        </w:rPr>
        <w:t>patterns</w:t>
      </w:r>
      <w:r w:rsidRPr="00ED41C9">
        <w:rPr>
          <w:rFonts w:ascii="Arial" w:hAnsi="Arial" w:cs="Arial"/>
        </w:rPr>
        <w:t xml:space="preserve">. </w:t>
      </w:r>
      <w:r w:rsidR="00D96E4C">
        <w:rPr>
          <w:rFonts w:ascii="Arial" w:hAnsi="Arial" w:cs="Arial"/>
        </w:rPr>
        <w:t xml:space="preserve">Unfortunately, the </w:t>
      </w:r>
      <w:r w:rsidRPr="00ED41C9">
        <w:rPr>
          <w:rFonts w:ascii="Arial" w:hAnsi="Arial" w:cs="Arial"/>
        </w:rPr>
        <w:t>transformer-based architectures</w:t>
      </w:r>
      <w:r w:rsidR="00D96E4C">
        <w:rPr>
          <w:rFonts w:ascii="Arial" w:hAnsi="Arial" w:cs="Arial"/>
        </w:rPr>
        <w:t xml:space="preserve"> that </w:t>
      </w:r>
      <w:r w:rsidRPr="00ED41C9">
        <w:rPr>
          <w:rFonts w:ascii="Arial" w:hAnsi="Arial" w:cs="Arial"/>
        </w:rPr>
        <w:t xml:space="preserve">dominate </w:t>
      </w:r>
      <w:r w:rsidR="005D040E" w:rsidRPr="00ED41C9">
        <w:rPr>
          <w:rFonts w:ascii="Arial" w:hAnsi="Arial" w:cs="Arial"/>
        </w:rPr>
        <w:t>contemporary</w:t>
      </w:r>
      <w:r w:rsidR="005D040E">
        <w:rPr>
          <w:rFonts w:ascii="Arial" w:hAnsi="Arial" w:cs="Arial"/>
        </w:rPr>
        <w:t xml:space="preserve"> sentiment-based </w:t>
      </w:r>
      <w:r w:rsidRPr="00ED41C9">
        <w:rPr>
          <w:rFonts w:ascii="Arial" w:hAnsi="Arial" w:cs="Arial"/>
        </w:rPr>
        <w:t xml:space="preserve">large language models </w:t>
      </w:r>
      <w:r w:rsidR="00D96E4C">
        <w:rPr>
          <w:rFonts w:ascii="Arial" w:hAnsi="Arial" w:cs="Arial"/>
        </w:rPr>
        <w:t xml:space="preserve">are permutation-invariant and </w:t>
      </w:r>
      <w:r w:rsidRPr="00ED41C9">
        <w:rPr>
          <w:rFonts w:ascii="Arial" w:hAnsi="Arial" w:cs="Arial"/>
        </w:rPr>
        <w:t xml:space="preserve">emphasize semantic correlations over temporal </w:t>
      </w:r>
      <w:r w:rsidR="00901EE9">
        <w:rPr>
          <w:rFonts w:ascii="Arial" w:hAnsi="Arial" w:cs="Arial"/>
        </w:rPr>
        <w:t>trends in</w:t>
      </w:r>
      <w:r w:rsidRPr="00ED41C9">
        <w:rPr>
          <w:rFonts w:ascii="Arial" w:hAnsi="Arial" w:cs="Arial"/>
        </w:rPr>
        <w:t xml:space="preserve"> time-series </w:t>
      </w:r>
      <w:r w:rsidR="00901EE9">
        <w:rPr>
          <w:rFonts w:ascii="Arial" w:hAnsi="Arial" w:cs="Arial"/>
        </w:rPr>
        <w:t>signals</w:t>
      </w:r>
      <w:r w:rsidRPr="00ED41C9">
        <w:rPr>
          <w:rFonts w:ascii="Arial" w:hAnsi="Arial" w:cs="Arial"/>
        </w:rPr>
        <w:t xml:space="preserve">, limiting the direct application of these frameworks </w:t>
      </w:r>
      <w:r w:rsidR="009C5E89">
        <w:rPr>
          <w:rFonts w:ascii="Arial" w:hAnsi="Arial" w:cs="Arial"/>
        </w:rPr>
        <w:t>for</w:t>
      </w:r>
      <w:r w:rsidRPr="00ED41C9">
        <w:rPr>
          <w:rFonts w:ascii="Arial" w:hAnsi="Arial" w:cs="Arial"/>
        </w:rPr>
        <w:t xml:space="preserve"> </w:t>
      </w:r>
      <w:r w:rsidR="00901EE9">
        <w:rPr>
          <w:rFonts w:ascii="Arial" w:hAnsi="Arial" w:cs="Arial"/>
        </w:rPr>
        <w:t xml:space="preserve">physiological-based </w:t>
      </w:r>
      <w:r w:rsidRPr="00ED41C9">
        <w:rPr>
          <w:rFonts w:ascii="Arial" w:hAnsi="Arial" w:cs="Arial"/>
        </w:rPr>
        <w:t>affective computing</w:t>
      </w:r>
      <w:r w:rsidR="0028496D">
        <w:rPr>
          <w:rFonts w:ascii="Arial" w:hAnsi="Arial" w:cs="Arial"/>
        </w:rPr>
        <w:fldChar w:fldCharType="begin"/>
      </w:r>
      <w:r w:rsidR="00460562">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460562" w:rsidRPr="00460562">
        <w:rPr>
          <w:rFonts w:ascii="Arial" w:hAnsi="Arial" w:cs="Arial"/>
          <w:kern w:val="0"/>
          <w:vertAlign w:val="superscript"/>
        </w:rPr>
        <w:t>2</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w:t>
      </w:r>
      <w:r w:rsidR="001E4326">
        <w:rPr>
          <w:rFonts w:ascii="Arial" w:hAnsi="Arial" w:cs="Arial"/>
        </w:rPr>
        <w:t>y</w:t>
      </w:r>
      <w:r w:rsidRPr="00ED41C9">
        <w:rPr>
          <w:rFonts w:ascii="Arial" w:hAnsi="Arial" w:cs="Arial"/>
        </w:rPr>
        <w:t xml:space="preserve">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 xml:space="preserve">to </w:t>
      </w:r>
      <w:r w:rsidR="00901EE9">
        <w:rPr>
          <w:rFonts w:ascii="Arial" w:hAnsi="Arial" w:cs="Arial"/>
        </w:rPr>
        <w:t xml:space="preserve">the success of </w:t>
      </w:r>
      <w:r w:rsidR="001E4326">
        <w:rPr>
          <w:rFonts w:ascii="Arial" w:hAnsi="Arial" w:cs="Arial"/>
        </w:rPr>
        <w:t xml:space="preserve">similar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5BB27970" w14:textId="52D2A258" w:rsidR="00DF3BF5" w:rsidRDefault="005D040E" w:rsidP="00491957">
      <w:pPr>
        <w:jc w:val="both"/>
        <w:rPr>
          <w:rFonts w:ascii="Arial" w:hAnsi="Arial" w:cs="Arial"/>
        </w:rPr>
      </w:pPr>
      <w:r>
        <w:rPr>
          <w:rFonts w:ascii="Arial" w:hAnsi="Arial" w:cs="Arial"/>
        </w:rPr>
        <w:t xml:space="preserve">Psychologists as early as </w:t>
      </w:r>
      <w:r w:rsidR="00990B7A">
        <w:rPr>
          <w:rFonts w:ascii="Arial" w:hAnsi="Arial" w:cs="Arial"/>
        </w:rPr>
        <w:t xml:space="preserve">Sigmund Freud </w:t>
      </w:r>
      <w:r>
        <w:rPr>
          <w:rFonts w:ascii="Arial" w:hAnsi="Arial" w:cs="Arial"/>
        </w:rPr>
        <w:t>have contended</w:t>
      </w:r>
      <w:r w:rsidR="00D06B3C">
        <w:rPr>
          <w:rFonts w:ascii="Arial" w:hAnsi="Arial" w:cs="Arial"/>
        </w:rPr>
        <w:t xml:space="preserve"> that</w:t>
      </w:r>
      <w:r w:rsidR="00990B7A">
        <w:rPr>
          <w:rFonts w:ascii="Arial" w:hAnsi="Arial" w:cs="Arial"/>
        </w:rPr>
        <w:t xml:space="preserve"> </w:t>
      </w:r>
      <w:r>
        <w:rPr>
          <w:rFonts w:ascii="Arial" w:hAnsi="Arial" w:cs="Arial"/>
        </w:rPr>
        <w:t xml:space="preserve">momentary </w:t>
      </w:r>
      <w:r w:rsidR="00286EE2">
        <w:rPr>
          <w:rFonts w:ascii="Arial" w:hAnsi="Arial" w:cs="Arial"/>
        </w:rPr>
        <w:t xml:space="preserve">state </w:t>
      </w:r>
      <w:r w:rsidR="00990B7A">
        <w:rPr>
          <w:rFonts w:ascii="Arial" w:hAnsi="Arial" w:cs="Arial"/>
        </w:rPr>
        <w:t>anxiety</w:t>
      </w:r>
      <w:r w:rsidR="00286EE2">
        <w:rPr>
          <w:rFonts w:ascii="Arial" w:hAnsi="Arial" w:cs="Arial"/>
        </w:rPr>
        <w:t xml:space="preserve"> (s-anxiety)</w:t>
      </w:r>
      <w:r w:rsidR="00990B7A">
        <w:rPr>
          <w:rFonts w:ascii="Arial" w:hAnsi="Arial" w:cs="Arial"/>
        </w:rPr>
        <w:t xml:space="preserve"> </w:t>
      </w:r>
      <w:r>
        <w:rPr>
          <w:rFonts w:ascii="Arial" w:hAnsi="Arial" w:cs="Arial"/>
        </w:rPr>
        <w:t>is</w:t>
      </w:r>
      <w:r w:rsidR="00990B7A">
        <w:rPr>
          <w:rFonts w:ascii="Arial" w:hAnsi="Arial" w:cs="Arial"/>
        </w:rPr>
        <w:t xml:space="preserve"> a compilation of emotional states</w:t>
      </w:r>
      <w:r w:rsidR="00003BE1">
        <w:rPr>
          <w:rFonts w:ascii="Arial" w:hAnsi="Arial" w:cs="Arial"/>
        </w:rPr>
        <w:t>: feeling</w:t>
      </w:r>
      <w:r w:rsidR="00DF3BF5">
        <w:rPr>
          <w:rFonts w:ascii="Arial" w:hAnsi="Arial" w:cs="Arial"/>
        </w:rPr>
        <w:t>s</w:t>
      </w:r>
      <w:r w:rsidR="00003BE1">
        <w:rPr>
          <w:rFonts w:ascii="Arial" w:hAnsi="Arial" w:cs="Arial"/>
        </w:rPr>
        <w:t xml:space="preserve"> that </w:t>
      </w:r>
      <w:r w:rsidR="00286EE2">
        <w:rPr>
          <w:rFonts w:ascii="Arial" w:hAnsi="Arial" w:cs="Arial"/>
        </w:rPr>
        <w:t xml:space="preserve">originate </w:t>
      </w:r>
      <w:r w:rsidR="00003BE1">
        <w:rPr>
          <w:rFonts w:ascii="Arial" w:hAnsi="Arial" w:cs="Arial"/>
        </w:rPr>
        <w:t>within</w:t>
      </w:r>
      <w:r w:rsidR="00286EE2">
        <w:rPr>
          <w:rFonts w:ascii="Arial" w:hAnsi="Arial" w:cs="Arial"/>
        </w:rPr>
        <w:t xml:space="preserve"> physiological perturbations</w:t>
      </w:r>
      <w:r w:rsidR="00003BE1">
        <w:rPr>
          <w:rFonts w:ascii="Arial" w:hAnsi="Arial" w:cs="Arial"/>
        </w:rPr>
        <w:t xml:space="preserve"> (</w:t>
      </w:r>
      <w:r w:rsidR="00003BE1" w:rsidRPr="00824A70">
        <w:rPr>
          <w:rFonts w:ascii="Arial" w:hAnsi="Arial" w:cs="Arial"/>
        </w:rPr>
        <w:t>Schachter</w:t>
      </w:r>
      <w:r w:rsidR="00003BE1">
        <w:rPr>
          <w:rFonts w:ascii="Arial" w:hAnsi="Arial" w:cs="Arial"/>
        </w:rPr>
        <w:t xml:space="preserve"> and </w:t>
      </w:r>
      <w:r w:rsidR="00003BE1" w:rsidRPr="00824A70">
        <w:rPr>
          <w:rFonts w:ascii="Arial" w:hAnsi="Arial" w:cs="Arial"/>
        </w:rPr>
        <w:t>Singer</w:t>
      </w:r>
      <w:r w:rsidR="00003BE1">
        <w:rPr>
          <w:rFonts w:ascii="Arial" w:hAnsi="Arial" w:cs="Arial"/>
        </w:rPr>
        <w:t>)</w:t>
      </w:r>
      <w:r w:rsidR="00286EE2">
        <w:rPr>
          <w:rFonts w:ascii="Arial" w:hAnsi="Arial" w:cs="Arial"/>
        </w:rPr>
        <w:t>.</w:t>
      </w:r>
      <w:r w:rsidR="00003BE1" w:rsidRPr="00003BE1">
        <w:rPr>
          <w:rFonts w:ascii="Arial" w:hAnsi="Arial" w:cs="Arial"/>
        </w:rPr>
        <w:t xml:space="preserve"> </w:t>
      </w:r>
      <w:r w:rsidR="00003BE1" w:rsidRPr="00824A70">
        <w:rPr>
          <w:rFonts w:ascii="Arial" w:hAnsi="Arial" w:cs="Arial"/>
        </w:rPr>
        <w:t xml:space="preserve">Paul Ekman </w:t>
      </w:r>
      <w:r w:rsidR="00003BE1">
        <w:rPr>
          <w:rFonts w:ascii="Arial" w:hAnsi="Arial" w:cs="Arial"/>
        </w:rPr>
        <w:t xml:space="preserve">mapped </w:t>
      </w:r>
      <w:r w:rsidR="00003BE1">
        <w:rPr>
          <w:rFonts w:ascii="Arial" w:hAnsi="Arial" w:cs="Arial"/>
        </w:rPr>
        <w:t xml:space="preserve">these </w:t>
      </w:r>
      <w:r w:rsidR="00003BE1">
        <w:rPr>
          <w:rFonts w:ascii="Arial" w:hAnsi="Arial" w:cs="Arial"/>
        </w:rPr>
        <w:t xml:space="preserve">emotions to </w:t>
      </w:r>
      <w:r w:rsidR="004A7F0C">
        <w:rPr>
          <w:rFonts w:ascii="Arial" w:hAnsi="Arial" w:cs="Arial"/>
        </w:rPr>
        <w:t xml:space="preserve">universal </w:t>
      </w:r>
      <w:r w:rsidR="00003BE1">
        <w:rPr>
          <w:rFonts w:ascii="Arial" w:hAnsi="Arial" w:cs="Arial"/>
        </w:rPr>
        <w:t>facial expressions</w:t>
      </w:r>
      <w:r w:rsidR="00003BE1">
        <w:rPr>
          <w:rFonts w:ascii="Arial" w:hAnsi="Arial" w:cs="Arial"/>
        </w:rPr>
        <w:t>, which M</w:t>
      </w:r>
      <w:r w:rsidR="00003BE1" w:rsidRPr="00824A70">
        <w:rPr>
          <w:rFonts w:ascii="Arial" w:hAnsi="Arial" w:cs="Arial"/>
        </w:rPr>
        <w:t xml:space="preserve">atsumoto and Willingham </w:t>
      </w:r>
      <w:r w:rsidR="00003BE1">
        <w:rPr>
          <w:rFonts w:ascii="Arial" w:hAnsi="Arial" w:cs="Arial"/>
        </w:rPr>
        <w:t xml:space="preserve">found are not </w:t>
      </w:r>
      <w:r w:rsidR="00003BE1" w:rsidRPr="00824A70">
        <w:rPr>
          <w:rFonts w:ascii="Arial" w:hAnsi="Arial" w:cs="Arial"/>
        </w:rPr>
        <w:t xml:space="preserve">socially learned, as even blind and deaf athletes exhibit predictable </w:t>
      </w:r>
      <w:r w:rsidR="00003BE1">
        <w:rPr>
          <w:rFonts w:ascii="Arial" w:hAnsi="Arial" w:cs="Arial"/>
        </w:rPr>
        <w:t xml:space="preserve">biological </w:t>
      </w:r>
      <w:r w:rsidR="00003BE1" w:rsidRPr="00824A70">
        <w:rPr>
          <w:rFonts w:ascii="Arial" w:hAnsi="Arial" w:cs="Arial"/>
        </w:rPr>
        <w:t xml:space="preserve">reactions to </w:t>
      </w:r>
      <w:r w:rsidR="00003BE1">
        <w:rPr>
          <w:rFonts w:ascii="Arial" w:hAnsi="Arial" w:cs="Arial"/>
        </w:rPr>
        <w:t xml:space="preserve">similar </w:t>
      </w:r>
      <w:r w:rsidR="00003BE1" w:rsidRPr="00824A70">
        <w:rPr>
          <w:rFonts w:ascii="Arial" w:hAnsi="Arial" w:cs="Arial"/>
        </w:rPr>
        <w:t xml:space="preserve">emotional stimuli. This suggests </w:t>
      </w:r>
      <w:r w:rsidR="00003BE1">
        <w:rPr>
          <w:rFonts w:ascii="Arial" w:hAnsi="Arial" w:cs="Arial"/>
        </w:rPr>
        <w:t xml:space="preserve">that some emotional expressions are </w:t>
      </w:r>
      <w:r w:rsidR="00DF3BF5">
        <w:rPr>
          <w:rFonts w:ascii="Arial" w:hAnsi="Arial" w:cs="Arial"/>
        </w:rPr>
        <w:t xml:space="preserve">linked </w:t>
      </w:r>
      <w:r w:rsidR="004A7F0C">
        <w:rPr>
          <w:rFonts w:ascii="Arial" w:hAnsi="Arial" w:cs="Arial"/>
        </w:rPr>
        <w:t>through</w:t>
      </w:r>
      <w:r w:rsidR="00DF3BF5">
        <w:rPr>
          <w:rFonts w:ascii="Arial" w:hAnsi="Arial" w:cs="Arial"/>
        </w:rPr>
        <w:t xml:space="preserve"> </w:t>
      </w:r>
      <w:r w:rsidR="00003BE1" w:rsidRPr="00824A70">
        <w:rPr>
          <w:rFonts w:ascii="Arial" w:hAnsi="Arial" w:cs="Arial"/>
        </w:rPr>
        <w:t>an evolutionary adaptation of the body reacting to potential threats—such as squinting out of disgust to block harmful stimuli from entering</w:t>
      </w:r>
      <w:r w:rsidR="00DF3BF5">
        <w:rPr>
          <w:rFonts w:ascii="Arial" w:hAnsi="Arial" w:cs="Arial"/>
        </w:rPr>
        <w:t xml:space="preserve">. </w:t>
      </w:r>
      <w:r w:rsidR="00DF3BF5">
        <w:rPr>
          <w:rFonts w:ascii="Arial" w:hAnsi="Arial" w:cs="Arial"/>
        </w:rPr>
        <w:t>Unfortunately, d</w:t>
      </w:r>
      <w:r w:rsidR="00DF3BF5" w:rsidRPr="00824A70">
        <w:rPr>
          <w:rFonts w:ascii="Arial" w:hAnsi="Arial" w:cs="Arial"/>
        </w:rPr>
        <w:t xml:space="preserve">espite extensive theoretical and empirical evidence, </w:t>
      </w:r>
      <w:r w:rsidR="00DF3BF5">
        <w:rPr>
          <w:rFonts w:ascii="Arial" w:hAnsi="Arial" w:cs="Arial"/>
        </w:rPr>
        <w:t>the</w:t>
      </w:r>
      <w:r w:rsidR="00DF3BF5" w:rsidRPr="00063EE3">
        <w:rPr>
          <w:rFonts w:ascii="Arial" w:hAnsi="Arial" w:cs="Arial"/>
        </w:rPr>
        <w:t xml:space="preserve"> continuous monitoring of</w:t>
      </w:r>
      <w:r w:rsidR="00DF3BF5">
        <w:rPr>
          <w:rFonts w:ascii="Arial" w:hAnsi="Arial" w:cs="Arial"/>
        </w:rPr>
        <w:t xml:space="preserve"> s-anxiety</w:t>
      </w:r>
      <w:r w:rsidR="00DF3BF5" w:rsidRPr="00063EE3">
        <w:rPr>
          <w:rFonts w:ascii="Arial" w:hAnsi="Arial" w:cs="Arial"/>
        </w:rPr>
        <w:t xml:space="preserve"> through wearable devices </w:t>
      </w:r>
      <w:r w:rsidR="00DF3BF5">
        <w:rPr>
          <w:rFonts w:ascii="Arial" w:hAnsi="Arial" w:cs="Arial"/>
        </w:rPr>
        <w:t xml:space="preserve">has not been </w:t>
      </w:r>
      <w:r w:rsidR="004A7F0C">
        <w:rPr>
          <w:rFonts w:ascii="Arial" w:hAnsi="Arial" w:cs="Arial"/>
        </w:rPr>
        <w:t>widely accepted due to poor generalization</w:t>
      </w:r>
      <w:r w:rsidR="00DF3BF5">
        <w:rPr>
          <w:rFonts w:ascii="Arial" w:hAnsi="Arial" w:cs="Arial"/>
        </w:rPr>
        <w:t xml:space="preserve">. </w:t>
      </w:r>
      <w:r w:rsidR="00C20C1A">
        <w:rPr>
          <w:rFonts w:ascii="Arial" w:hAnsi="Arial" w:cs="Arial"/>
        </w:rPr>
        <w:t>Other</w:t>
      </w:r>
      <w:r w:rsidR="00DF3BF5">
        <w:rPr>
          <w:rFonts w:ascii="Arial" w:hAnsi="Arial" w:cs="Arial"/>
        </w:rPr>
        <w:t xml:space="preserve"> </w:t>
      </w:r>
      <w:r w:rsidR="004A7F0C">
        <w:rPr>
          <w:rFonts w:ascii="Arial" w:hAnsi="Arial" w:cs="Arial"/>
        </w:rPr>
        <w:t xml:space="preserve">well-known </w:t>
      </w:r>
      <w:r w:rsidR="00DF3BF5">
        <w:rPr>
          <w:rFonts w:ascii="Arial" w:hAnsi="Arial" w:cs="Arial"/>
        </w:rPr>
        <w:t xml:space="preserve">health monitoring </w:t>
      </w:r>
      <w:r w:rsidR="00DF3BF5" w:rsidRPr="00063EE3">
        <w:rPr>
          <w:rFonts w:ascii="Arial" w:hAnsi="Arial" w:cs="Arial"/>
        </w:rPr>
        <w:t>frameworks</w:t>
      </w:r>
      <w:r w:rsidR="00DF3BF5">
        <w:rPr>
          <w:rFonts w:ascii="Arial" w:hAnsi="Arial" w:cs="Arial"/>
        </w:rPr>
        <w:t>,</w:t>
      </w:r>
      <w:r w:rsidR="00DF3BF5" w:rsidRPr="00063EE3">
        <w:rPr>
          <w:rFonts w:ascii="Arial" w:hAnsi="Arial" w:cs="Arial"/>
        </w:rPr>
        <w:t xml:space="preserve"> </w:t>
      </w:r>
      <w:r w:rsidR="00DF3BF5">
        <w:rPr>
          <w:rFonts w:ascii="Arial" w:hAnsi="Arial" w:cs="Arial"/>
        </w:rPr>
        <w:t>such as</w:t>
      </w:r>
      <w:r w:rsidR="00DF3BF5" w:rsidRPr="00063EE3">
        <w:rPr>
          <w:rFonts w:ascii="Arial" w:hAnsi="Arial" w:cs="Arial"/>
        </w:rPr>
        <w:t xml:space="preserve"> the Framingham Risk Score </w:t>
      </w:r>
      <w:r w:rsidR="00DF3BF5">
        <w:rPr>
          <w:rFonts w:ascii="Arial" w:hAnsi="Arial" w:cs="Arial"/>
        </w:rPr>
        <w:t>and the</w:t>
      </w:r>
      <w:r w:rsidR="00DF3BF5" w:rsidRPr="00063EE3">
        <w:rPr>
          <w:rFonts w:ascii="Arial" w:hAnsi="Arial" w:cs="Arial"/>
        </w:rPr>
        <w:t xml:space="preserve"> Susceptible-Infectious-Recovered model</w:t>
      </w:r>
      <w:r w:rsidR="00DF3BF5">
        <w:rPr>
          <w:rFonts w:ascii="Arial" w:hAnsi="Arial" w:cs="Arial"/>
        </w:rPr>
        <w:t>,</w:t>
      </w:r>
      <w:r w:rsidR="00DF3BF5" w:rsidRPr="00063EE3">
        <w:rPr>
          <w:rFonts w:ascii="Arial" w:hAnsi="Arial" w:cs="Arial"/>
        </w:rPr>
        <w:t xml:space="preserve"> </w:t>
      </w:r>
      <w:r w:rsidR="00DF3BF5">
        <w:rPr>
          <w:rFonts w:ascii="Arial" w:hAnsi="Arial" w:cs="Arial"/>
        </w:rPr>
        <w:t>take advantage of</w:t>
      </w:r>
      <w:r w:rsidR="00DF3BF5" w:rsidRPr="00063EE3">
        <w:rPr>
          <w:rFonts w:ascii="Arial" w:hAnsi="Arial" w:cs="Arial"/>
        </w:rPr>
        <w:t xml:space="preserve"> </w:t>
      </w:r>
      <w:r w:rsidR="00DF3BF5">
        <w:rPr>
          <w:rFonts w:ascii="Arial" w:hAnsi="Arial" w:cs="Arial"/>
        </w:rPr>
        <w:t>large</w:t>
      </w:r>
      <w:r w:rsidR="004A7F0C">
        <w:rPr>
          <w:rFonts w:ascii="Arial" w:hAnsi="Arial" w:cs="Arial"/>
        </w:rPr>
        <w:t>r</w:t>
      </w:r>
      <w:r w:rsidR="00DF3BF5">
        <w:rPr>
          <w:rFonts w:ascii="Arial" w:hAnsi="Arial" w:cs="Arial"/>
        </w:rPr>
        <w:t xml:space="preserve"> </w:t>
      </w:r>
      <w:r w:rsidR="00DF3BF5">
        <w:rPr>
          <w:rFonts w:ascii="Arial" w:hAnsi="Arial" w:cs="Arial"/>
        </w:rPr>
        <w:t>data</w:t>
      </w:r>
      <w:r w:rsidR="00DF3BF5">
        <w:rPr>
          <w:rFonts w:ascii="Arial" w:hAnsi="Arial" w:cs="Arial"/>
        </w:rPr>
        <w:t>sets</w:t>
      </w:r>
      <w:r w:rsidR="00DF3BF5" w:rsidRPr="00063EE3">
        <w:rPr>
          <w:rFonts w:ascii="Arial" w:hAnsi="Arial" w:cs="Arial"/>
        </w:rPr>
        <w:t xml:space="preserve"> </w:t>
      </w:r>
      <w:r w:rsidR="00DF3BF5" w:rsidRPr="00063EE3">
        <w:rPr>
          <w:rFonts w:ascii="Arial" w:hAnsi="Arial" w:cs="Arial"/>
        </w:rPr>
        <w:t>relating</w:t>
      </w:r>
      <w:r w:rsidR="00DF3BF5" w:rsidRPr="00063EE3">
        <w:rPr>
          <w:rFonts w:ascii="Arial" w:hAnsi="Arial" w:cs="Arial"/>
        </w:rPr>
        <w:t xml:space="preserve"> </w:t>
      </w:r>
      <w:r w:rsidR="00C20C1A">
        <w:rPr>
          <w:rFonts w:ascii="Arial" w:hAnsi="Arial" w:cs="Arial"/>
        </w:rPr>
        <w:t>steady</w:t>
      </w:r>
      <w:r w:rsidR="00DF3BF5" w:rsidRPr="00063EE3">
        <w:rPr>
          <w:rFonts w:ascii="Arial" w:hAnsi="Arial" w:cs="Arial"/>
        </w:rPr>
        <w:t xml:space="preserve"> biomarkers to specific health outcomes, enabling actionable insights</w:t>
      </w:r>
      <w:r w:rsidR="00DF3BF5">
        <w:rPr>
          <w:rFonts w:ascii="Arial" w:hAnsi="Arial" w:cs="Arial"/>
        </w:rPr>
        <w:t xml:space="preserve"> even within poorly correlated health trends. </w:t>
      </w:r>
      <w:r w:rsidR="00C20C1A">
        <w:rPr>
          <w:rFonts w:ascii="Arial" w:hAnsi="Arial" w:cs="Arial"/>
        </w:rPr>
        <w:t>In contrast</w:t>
      </w:r>
      <w:r w:rsidR="00DF3BF5">
        <w:rPr>
          <w:rFonts w:ascii="Arial" w:hAnsi="Arial" w:cs="Arial"/>
        </w:rPr>
        <w:t xml:space="preserve">, </w:t>
      </w:r>
      <w:r w:rsidR="00DF3BF5">
        <w:rPr>
          <w:rFonts w:ascii="Arial" w:hAnsi="Arial" w:cs="Arial"/>
        </w:rPr>
        <w:t xml:space="preserve">mental health modeling is limited </w:t>
      </w:r>
      <w:r w:rsidR="00DF3BF5">
        <w:rPr>
          <w:rFonts w:ascii="Arial" w:hAnsi="Arial" w:cs="Arial"/>
        </w:rPr>
        <w:t>to</w:t>
      </w:r>
      <w:r w:rsidR="00DF3BF5">
        <w:rPr>
          <w:rFonts w:ascii="Arial" w:hAnsi="Arial" w:cs="Arial"/>
        </w:rPr>
        <w:t xml:space="preserve"> subjective observation</w:t>
      </w:r>
      <w:r w:rsidR="00DF3BF5">
        <w:rPr>
          <w:rFonts w:ascii="Arial" w:hAnsi="Arial" w:cs="Arial"/>
        </w:rPr>
        <w:t xml:space="preserve">al </w:t>
      </w:r>
      <w:r w:rsidR="004A7F0C">
        <w:rPr>
          <w:rFonts w:ascii="Arial" w:hAnsi="Arial" w:cs="Arial"/>
        </w:rPr>
        <w:t>emotion</w:t>
      </w:r>
      <w:r w:rsidR="00C20C1A">
        <w:rPr>
          <w:rFonts w:ascii="Arial" w:hAnsi="Arial" w:cs="Arial"/>
        </w:rPr>
        <w:t xml:space="preserve">s </w:t>
      </w:r>
      <w:r w:rsidR="00DF3BF5">
        <w:rPr>
          <w:rFonts w:ascii="Arial" w:hAnsi="Arial" w:cs="Arial"/>
        </w:rPr>
        <w:t xml:space="preserve">that are </w:t>
      </w:r>
      <w:r w:rsidR="00C20C1A">
        <w:rPr>
          <w:rFonts w:ascii="Arial" w:hAnsi="Arial" w:cs="Arial"/>
        </w:rPr>
        <w:t>recorded</w:t>
      </w:r>
      <w:r w:rsidR="00DF3BF5">
        <w:rPr>
          <w:rFonts w:ascii="Arial" w:hAnsi="Arial" w:cs="Arial"/>
        </w:rPr>
        <w:t xml:space="preserve"> </w:t>
      </w:r>
      <w:r w:rsidR="00C20C1A">
        <w:rPr>
          <w:rFonts w:ascii="Arial" w:hAnsi="Arial" w:cs="Arial"/>
        </w:rPr>
        <w:t>via</w:t>
      </w:r>
      <w:r w:rsidR="00DF3BF5">
        <w:rPr>
          <w:rFonts w:ascii="Arial" w:hAnsi="Arial" w:cs="Arial"/>
        </w:rPr>
        <w:t xml:space="preserve"> </w:t>
      </w:r>
      <w:r w:rsidR="00DF3BF5">
        <w:rPr>
          <w:rFonts w:ascii="Arial" w:hAnsi="Arial" w:cs="Arial"/>
        </w:rPr>
        <w:t>different wearable platforms.</w:t>
      </w:r>
      <w:r w:rsidR="004A7F0C">
        <w:rPr>
          <w:rFonts w:ascii="Arial" w:hAnsi="Arial" w:cs="Arial"/>
        </w:rPr>
        <w:t xml:space="preserve"> T</w:t>
      </w:r>
      <w:r w:rsidR="00DF3BF5">
        <w:rPr>
          <w:rFonts w:ascii="Arial" w:hAnsi="Arial" w:cs="Arial"/>
        </w:rPr>
        <w:t>h</w:t>
      </w:r>
      <w:r w:rsidR="00DF3BF5">
        <w:rPr>
          <w:rFonts w:ascii="Arial" w:hAnsi="Arial" w:cs="Arial"/>
        </w:rPr>
        <w:t>is</w:t>
      </w:r>
      <w:r w:rsidR="00DF3BF5">
        <w:rPr>
          <w:rFonts w:ascii="Arial" w:hAnsi="Arial" w:cs="Arial"/>
        </w:rPr>
        <w:t xml:space="preserve"> lack of standardized biomarkers and emotion questions for s-anxiety </w:t>
      </w:r>
      <w:r w:rsidR="00DF3BF5">
        <w:rPr>
          <w:rFonts w:ascii="Arial" w:hAnsi="Arial" w:cs="Arial"/>
        </w:rPr>
        <w:t>promotes the use of</w:t>
      </w:r>
      <w:r w:rsidR="00DF3BF5" w:rsidRPr="00063EE3">
        <w:rPr>
          <w:rFonts w:ascii="Arial" w:hAnsi="Arial" w:cs="Arial"/>
        </w:rPr>
        <w:t xml:space="preserve"> </w:t>
      </w:r>
      <w:r w:rsidR="00DF3BF5">
        <w:rPr>
          <w:rFonts w:ascii="Arial" w:hAnsi="Arial" w:cs="Arial"/>
        </w:rPr>
        <w:t xml:space="preserve">dataset-specific architectures that prevents open-source data integration </w:t>
      </w:r>
      <w:r w:rsidR="00DF3BF5">
        <w:rPr>
          <w:rFonts w:ascii="Arial" w:hAnsi="Arial" w:cs="Arial"/>
        </w:rPr>
        <w:t xml:space="preserve">and meta-learning </w:t>
      </w:r>
      <w:r w:rsidR="00DF3BF5">
        <w:rPr>
          <w:rFonts w:ascii="Arial" w:hAnsi="Arial" w:cs="Arial"/>
        </w:rPr>
        <w:t>a collaborative</w:t>
      </w:r>
      <w:r w:rsidR="00DF3BF5">
        <w:rPr>
          <w:rFonts w:ascii="Arial" w:hAnsi="Arial" w:cs="Arial"/>
        </w:rPr>
        <w:t xml:space="preserve"> and generalizable</w:t>
      </w:r>
      <w:r w:rsidR="00DF3BF5">
        <w:rPr>
          <w:rFonts w:ascii="Arial" w:hAnsi="Arial" w:cs="Arial"/>
        </w:rPr>
        <w:t xml:space="preserve"> physio-emotion </w:t>
      </w:r>
      <w:r w:rsidR="00DF3BF5">
        <w:rPr>
          <w:rFonts w:ascii="Arial" w:hAnsi="Arial" w:cs="Arial"/>
        </w:rPr>
        <w:t>model</w:t>
      </w:r>
      <w:r w:rsidR="00DF3BF5" w:rsidRPr="00063EE3">
        <w:rPr>
          <w:rFonts w:ascii="Arial" w:hAnsi="Arial" w:cs="Arial"/>
        </w:rPr>
        <w:t>.</w:t>
      </w:r>
    </w:p>
    <w:p w14:paraId="19B3B709" w14:textId="665D89E0" w:rsidR="00B337A6" w:rsidRDefault="00B337A6" w:rsidP="00B337A6">
      <w:pPr>
        <w:jc w:val="both"/>
        <w:rPr>
          <w:rFonts w:ascii="Arial" w:hAnsi="Arial" w:cs="Arial"/>
        </w:rPr>
      </w:pPr>
      <w:r>
        <w:rPr>
          <w:rFonts w:ascii="Arial" w:hAnsi="Arial" w:cs="Arial"/>
        </w:rPr>
        <w:t xml:space="preserve">In this work, we present a new </w:t>
      </w:r>
      <w:r w:rsidR="00C20C1A">
        <w:rPr>
          <w:rFonts w:ascii="Arial" w:hAnsi="Arial" w:cs="Arial"/>
        </w:rPr>
        <w:t>machine learning foundational architecture</w:t>
      </w:r>
      <w:r>
        <w:rPr>
          <w:rFonts w:ascii="Arial" w:hAnsi="Arial" w:cs="Arial"/>
        </w:rPr>
        <w:t xml:space="preserve"> called observational learning (OL)</w:t>
      </w:r>
      <w:r w:rsidR="000871DE">
        <w:rPr>
          <w:rFonts w:ascii="Arial" w:hAnsi="Arial" w:cs="Arial"/>
        </w:rPr>
        <w:t xml:space="preserve"> that offers</w:t>
      </w:r>
      <w:r>
        <w:rPr>
          <w:rFonts w:ascii="Arial" w:hAnsi="Arial" w:cs="Arial"/>
        </w:rPr>
        <w:t xml:space="preserve"> </w:t>
      </w:r>
      <w:r w:rsidR="00C20C1A">
        <w:rPr>
          <w:rFonts w:ascii="Arial" w:hAnsi="Arial" w:cs="Arial"/>
        </w:rPr>
        <w:t>an</w:t>
      </w:r>
      <w:r>
        <w:rPr>
          <w:rFonts w:ascii="Arial" w:hAnsi="Arial" w:cs="Arial"/>
        </w:rPr>
        <w:t xml:space="preserve"> </w:t>
      </w:r>
      <w:r w:rsidR="00C20C1A">
        <w:rPr>
          <w:rFonts w:ascii="Arial" w:hAnsi="Arial" w:cs="Arial"/>
        </w:rPr>
        <w:t>innovative</w:t>
      </w:r>
      <w:r>
        <w:rPr>
          <w:rFonts w:ascii="Arial" w:hAnsi="Arial" w:cs="Arial"/>
        </w:rPr>
        <w:t xml:space="preserve"> way of analyzing time-series data that overcomes the current challenges with </w:t>
      </w:r>
      <w:r w:rsidR="00C20C1A">
        <w:rPr>
          <w:rFonts w:ascii="Arial" w:hAnsi="Arial" w:cs="Arial"/>
        </w:rPr>
        <w:t>merging</w:t>
      </w:r>
      <w:r>
        <w:rPr>
          <w:rFonts w:ascii="Arial" w:hAnsi="Arial" w:cs="Arial"/>
        </w:rPr>
        <w:t xml:space="preserve"> out-of-domain datasets, making it </w:t>
      </w:r>
      <w:r w:rsidR="00C20C1A">
        <w:rPr>
          <w:rFonts w:ascii="Arial" w:hAnsi="Arial" w:cs="Arial"/>
        </w:rPr>
        <w:t>appropriate</w:t>
      </w:r>
      <w:r>
        <w:rPr>
          <w:rFonts w:ascii="Arial" w:hAnsi="Arial" w:cs="Arial"/>
        </w:rPr>
        <w:t xml:space="preserve"> for emotion datasets with different input </w:t>
      </w:r>
      <w:r w:rsidR="000871DE">
        <w:rPr>
          <w:rFonts w:ascii="Arial" w:hAnsi="Arial" w:cs="Arial"/>
        </w:rPr>
        <w:t>biomarkers</w:t>
      </w:r>
      <w:r>
        <w:rPr>
          <w:rFonts w:ascii="Arial" w:hAnsi="Arial" w:cs="Arial"/>
        </w:rPr>
        <w:t xml:space="preserve"> and output emotions.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6070009A" w14:textId="77777777" w:rsidR="00660A63" w:rsidRDefault="00660A63" w:rsidP="00660A63">
      <w:pPr>
        <w:jc w:val="both"/>
        <w:rPr>
          <w:rFonts w:ascii="Arial" w:hAnsi="Arial" w:cs="Arial"/>
        </w:rPr>
      </w:pPr>
      <w:r>
        <w:rPr>
          <w:rFonts w:ascii="Arial" w:hAnsi="Arial" w:cs="Arial"/>
        </w:rPr>
        <w:lastRenderedPageBreak/>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7777777"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Pr="00286EE2">
        <w:rPr>
          <w:rFonts w:ascii="Arial" w:hAnsi="Arial" w:cs="Arial"/>
        </w:rPr>
        <w:instrText xml:space="preserve"> ADDIN ZOTERO_ITEM CSL_CITATION {"citationID":"4clVfAxt","properties":{"formattedCitation":"\\super 7\\uc0\\u8211{}9\\nosupersub{}","plainCitation":"7–9","noteIndex":0},"citationItems":[{"id":298,"uris":["http://zotero.org/users/8280238/items/R64529US"],"itemData":{"id":298,"type":"article-journal","abstract":"Anxiety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304,"uris":["http://zotero.org/users/8280238/items/IAMWS7GV"],"itemData":{"id":304,"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Kumar"}],"issued":{"date-parts":[["2011"]]}}},{"id":307,"uris":["http://zotero.org/users/8280238/items/3HA6PAAZ"],"itemData":{"id":307,"type":"article-journal","abstract":"Background: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lastRenderedPageBreak/>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lastRenderedPageBreak/>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w:t>
      </w:r>
      <w:r>
        <w:rPr>
          <w:rFonts w:ascii="Arial" w:hAnsi="Arial" w:cs="Arial"/>
        </w:rPr>
        <w:lastRenderedPageBreak/>
        <w:t xml:space="preserve">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w:t>
      </w:r>
      <w:r w:rsidRPr="00062171">
        <w:rPr>
          <w:rFonts w:ascii="Arial" w:hAnsi="Arial" w:cs="Arial"/>
        </w:rPr>
        <w:lastRenderedPageBreak/>
        <w:t>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lastRenderedPageBreak/>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w:t>
      </w:r>
      <w:r w:rsidRPr="00BF711E">
        <w:rPr>
          <w:rFonts w:ascii="Arial" w:hAnsi="Arial" w:cs="Arial"/>
        </w:rPr>
        <w:lastRenderedPageBreak/>
        <w:t>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t xml:space="preserve">Vallée, A., Faranda, D. &amp; Arutkin,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4E6B9" w14:textId="77777777" w:rsidR="00AE6B00" w:rsidRDefault="00AE6B00" w:rsidP="0085301C">
      <w:pPr>
        <w:spacing w:after="0" w:line="240" w:lineRule="auto"/>
      </w:pPr>
      <w:r>
        <w:separator/>
      </w:r>
    </w:p>
  </w:endnote>
  <w:endnote w:type="continuationSeparator" w:id="0">
    <w:p w14:paraId="3A4551A6" w14:textId="77777777" w:rsidR="00AE6B00" w:rsidRDefault="00AE6B00"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6600F" w14:textId="77777777" w:rsidR="00AE6B00" w:rsidRDefault="00AE6B00" w:rsidP="0085301C">
      <w:pPr>
        <w:spacing w:after="0" w:line="240" w:lineRule="auto"/>
      </w:pPr>
      <w:r>
        <w:separator/>
      </w:r>
    </w:p>
  </w:footnote>
  <w:footnote w:type="continuationSeparator" w:id="0">
    <w:p w14:paraId="1B81087E" w14:textId="77777777" w:rsidR="00AE6B00" w:rsidRDefault="00AE6B00"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96A63"/>
    <w:rsid w:val="001B6954"/>
    <w:rsid w:val="001D320D"/>
    <w:rsid w:val="001E4326"/>
    <w:rsid w:val="001E4876"/>
    <w:rsid w:val="00203CC4"/>
    <w:rsid w:val="00224F60"/>
    <w:rsid w:val="00237C2B"/>
    <w:rsid w:val="00243F99"/>
    <w:rsid w:val="00267608"/>
    <w:rsid w:val="002825FA"/>
    <w:rsid w:val="0028496D"/>
    <w:rsid w:val="00286EE2"/>
    <w:rsid w:val="00291472"/>
    <w:rsid w:val="002939DA"/>
    <w:rsid w:val="00295106"/>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A65F6"/>
    <w:rsid w:val="003B2173"/>
    <w:rsid w:val="003C09CF"/>
    <w:rsid w:val="003C141E"/>
    <w:rsid w:val="003D0D2E"/>
    <w:rsid w:val="003E0931"/>
    <w:rsid w:val="00402C4E"/>
    <w:rsid w:val="0040372C"/>
    <w:rsid w:val="00406A55"/>
    <w:rsid w:val="004146E4"/>
    <w:rsid w:val="00420F68"/>
    <w:rsid w:val="00426D26"/>
    <w:rsid w:val="00451AC0"/>
    <w:rsid w:val="00451FF1"/>
    <w:rsid w:val="00460562"/>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26774"/>
    <w:rsid w:val="00561EF9"/>
    <w:rsid w:val="00564A4E"/>
    <w:rsid w:val="005664B8"/>
    <w:rsid w:val="00575050"/>
    <w:rsid w:val="00575AFF"/>
    <w:rsid w:val="005802CE"/>
    <w:rsid w:val="00580340"/>
    <w:rsid w:val="005A6CF1"/>
    <w:rsid w:val="005B4815"/>
    <w:rsid w:val="005C34FD"/>
    <w:rsid w:val="005C42A8"/>
    <w:rsid w:val="005D040E"/>
    <w:rsid w:val="005D6CB1"/>
    <w:rsid w:val="005D71D0"/>
    <w:rsid w:val="005D7842"/>
    <w:rsid w:val="005F1C92"/>
    <w:rsid w:val="0062144B"/>
    <w:rsid w:val="006246F0"/>
    <w:rsid w:val="0063359B"/>
    <w:rsid w:val="00640491"/>
    <w:rsid w:val="00646B0A"/>
    <w:rsid w:val="00660A63"/>
    <w:rsid w:val="006651B4"/>
    <w:rsid w:val="00666313"/>
    <w:rsid w:val="006933F3"/>
    <w:rsid w:val="00693491"/>
    <w:rsid w:val="006936DF"/>
    <w:rsid w:val="00695B20"/>
    <w:rsid w:val="006B3E6B"/>
    <w:rsid w:val="006C097A"/>
    <w:rsid w:val="006C4E23"/>
    <w:rsid w:val="006D0478"/>
    <w:rsid w:val="006D1A74"/>
    <w:rsid w:val="00706150"/>
    <w:rsid w:val="007228F4"/>
    <w:rsid w:val="00723EE9"/>
    <w:rsid w:val="00725191"/>
    <w:rsid w:val="00740B90"/>
    <w:rsid w:val="00743438"/>
    <w:rsid w:val="00760C28"/>
    <w:rsid w:val="00763D7A"/>
    <w:rsid w:val="00770AE0"/>
    <w:rsid w:val="00773749"/>
    <w:rsid w:val="0079059E"/>
    <w:rsid w:val="007A208E"/>
    <w:rsid w:val="007A34BC"/>
    <w:rsid w:val="007A4704"/>
    <w:rsid w:val="007C6EE4"/>
    <w:rsid w:val="007D16EF"/>
    <w:rsid w:val="007F4969"/>
    <w:rsid w:val="007F7B1B"/>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E0761"/>
    <w:rsid w:val="008F07D0"/>
    <w:rsid w:val="00901EE9"/>
    <w:rsid w:val="00915774"/>
    <w:rsid w:val="00925207"/>
    <w:rsid w:val="00931AB2"/>
    <w:rsid w:val="009340E8"/>
    <w:rsid w:val="009530A6"/>
    <w:rsid w:val="0095709E"/>
    <w:rsid w:val="00961EA1"/>
    <w:rsid w:val="0096402B"/>
    <w:rsid w:val="00986801"/>
    <w:rsid w:val="00990B7A"/>
    <w:rsid w:val="009C118C"/>
    <w:rsid w:val="009C5E89"/>
    <w:rsid w:val="009D37ED"/>
    <w:rsid w:val="009D77A2"/>
    <w:rsid w:val="009E58BD"/>
    <w:rsid w:val="009F0799"/>
    <w:rsid w:val="009F2F1E"/>
    <w:rsid w:val="009F2F62"/>
    <w:rsid w:val="009F3FF3"/>
    <w:rsid w:val="00A15155"/>
    <w:rsid w:val="00A17FB6"/>
    <w:rsid w:val="00A35353"/>
    <w:rsid w:val="00A37277"/>
    <w:rsid w:val="00A55468"/>
    <w:rsid w:val="00A65171"/>
    <w:rsid w:val="00A6613D"/>
    <w:rsid w:val="00A8501B"/>
    <w:rsid w:val="00A85116"/>
    <w:rsid w:val="00A86CFC"/>
    <w:rsid w:val="00AC4843"/>
    <w:rsid w:val="00AE6B00"/>
    <w:rsid w:val="00AF0C26"/>
    <w:rsid w:val="00AF4A0E"/>
    <w:rsid w:val="00B156A6"/>
    <w:rsid w:val="00B16191"/>
    <w:rsid w:val="00B3011D"/>
    <w:rsid w:val="00B337A6"/>
    <w:rsid w:val="00B46EE1"/>
    <w:rsid w:val="00B51139"/>
    <w:rsid w:val="00B5338E"/>
    <w:rsid w:val="00B66335"/>
    <w:rsid w:val="00B67F38"/>
    <w:rsid w:val="00BA02A4"/>
    <w:rsid w:val="00BD789D"/>
    <w:rsid w:val="00BE5B0F"/>
    <w:rsid w:val="00BE686A"/>
    <w:rsid w:val="00BF711E"/>
    <w:rsid w:val="00C10C81"/>
    <w:rsid w:val="00C2081F"/>
    <w:rsid w:val="00C20C1A"/>
    <w:rsid w:val="00C25701"/>
    <w:rsid w:val="00C534DF"/>
    <w:rsid w:val="00C61B33"/>
    <w:rsid w:val="00C74B12"/>
    <w:rsid w:val="00C74BDA"/>
    <w:rsid w:val="00C80E1C"/>
    <w:rsid w:val="00C96644"/>
    <w:rsid w:val="00CA7C23"/>
    <w:rsid w:val="00CB2C92"/>
    <w:rsid w:val="00CC0657"/>
    <w:rsid w:val="00CE0F3E"/>
    <w:rsid w:val="00CF5671"/>
    <w:rsid w:val="00CF7716"/>
    <w:rsid w:val="00D06B3C"/>
    <w:rsid w:val="00D169D8"/>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10585"/>
    <w:rsid w:val="00E11D2E"/>
    <w:rsid w:val="00E12DDC"/>
    <w:rsid w:val="00E269CB"/>
    <w:rsid w:val="00E27D07"/>
    <w:rsid w:val="00E4016F"/>
    <w:rsid w:val="00E40AB2"/>
    <w:rsid w:val="00E451BA"/>
    <w:rsid w:val="00E47853"/>
    <w:rsid w:val="00E644FB"/>
    <w:rsid w:val="00E67275"/>
    <w:rsid w:val="00E80478"/>
    <w:rsid w:val="00E80686"/>
    <w:rsid w:val="00E902F0"/>
    <w:rsid w:val="00E91319"/>
    <w:rsid w:val="00E91C9C"/>
    <w:rsid w:val="00EA0D5D"/>
    <w:rsid w:val="00EB0864"/>
    <w:rsid w:val="00EC068B"/>
    <w:rsid w:val="00ED41C9"/>
    <w:rsid w:val="00EE327E"/>
    <w:rsid w:val="00F00D50"/>
    <w:rsid w:val="00F0730D"/>
    <w:rsid w:val="00F10123"/>
    <w:rsid w:val="00F14FB1"/>
    <w:rsid w:val="00F271B8"/>
    <w:rsid w:val="00F275C8"/>
    <w:rsid w:val="00F50303"/>
    <w:rsid w:val="00F528C4"/>
    <w:rsid w:val="00F55F84"/>
    <w:rsid w:val="00F65E7B"/>
    <w:rsid w:val="00F80465"/>
    <w:rsid w:val="00F91AF0"/>
    <w:rsid w:val="00FA60D2"/>
    <w:rsid w:val="00FA6A44"/>
    <w:rsid w:val="00FB3EE9"/>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10257</TotalTime>
  <Pages>11</Pages>
  <Words>7842</Words>
  <Characters>44703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141</cp:revision>
  <dcterms:created xsi:type="dcterms:W3CDTF">2024-03-01T20:43:00Z</dcterms:created>
  <dcterms:modified xsi:type="dcterms:W3CDTF">2024-11-22T21:45:00Z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