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2F3A"/>
          <w:sz w:val="64"/>
          <w:szCs w:val="64"/>
        </w:rPr>
        <w:t xml:space="preserve">Norwegian Cruise Line</w:t>
      </w:r>
    </w:p>
    <w:p>
      <w:pPr>
        <w:spacing w:after="60" w:before="0"/>
      </w:pPr>
      <w:r>
        <w:rPr>
          <w:rFonts w:ascii="Arial" w:cs="Arial" w:eastAsia="Arial" w:hAnsi="Arial"/>
          <w:b/>
          <w:bCs/>
          <w:color w:val="007B7F"/>
          <w:sz w:val="40"/>
          <w:szCs w:val="40"/>
        </w:rPr>
        <w:t xml:space="preserve">Profit Maximization Model</w:t>
      </w:r>
    </w:p>
    <w:p>
      <w:pPr>
        <w:spacing w:after="80" w:before="0"/>
      </w:pPr>
      <w:r>
        <w:rPr>
          <w:rFonts w:ascii="Arial" w:cs="Arial" w:eastAsia="Arial" w:hAnsi="Arial"/>
          <w:color w:val="777777"/>
          <w:sz w:val="22"/>
          <w:szCs w:val="22"/>
        </w:rPr>
        <w:t xml:space="preserve">Project Documentation — MAS 632 · Sampada Donahalli Dinesh</w:t>
      </w:r>
    </w:p>
    <w:p>
      <w:pPr>
        <w:pBdr>
          <w:bottom w:val="single" w:color="007B7F" w:sz="12" w:space="1"/>
        </w:pBdr>
        <w:spacing w:after="40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1. What Is This Project?</w:t>
      </w:r>
    </w:p>
    <w:p>
      <w:pPr>
        <w:spacing w:after="100" w:before="80"/>
      </w:pPr>
      <w:r>
        <w:rPr>
          <w:rFonts w:ascii="Arial" w:cs="Arial" w:eastAsia="Arial" w:hAnsi="Arial"/>
          <w:b w:val="false"/>
          <w:bCs w:val="false"/>
          <w:color w:val="1A2F3A"/>
          <w:sz w:val="22"/>
          <w:szCs w:val="22"/>
        </w:rPr>
        <w:t xml:space="preserve">Norwegian Cruise Line (NCL) is one of the world's largest cruise operators, serving 2.9 million guests in 2024 with $9.5B in annual revenue and a 104.9% occupancy rate. Despite this strong performance, revenue is systematically left on the table when fare-class allocation, passenger discounting, and overbooking decisions are made by intuition rather than data.</w:t>
      </w:r>
    </w:p>
    <w:p>
      <w:pPr>
        <w:spacing w:after="60" w:before="0"/>
      </w:pPr>
      <w:r>
        <w:t xml:space="preserve"/>
      </w:r>
    </w:p>
    <w:p>
      <w:pPr>
        <w:spacing w:after="100" w:before="80"/>
      </w:pPr>
      <w:r>
        <w:rPr>
          <w:rFonts w:ascii="Arial" w:cs="Arial" w:eastAsia="Arial" w:hAnsi="Arial"/>
          <w:b w:val="false"/>
          <w:bCs w:val="false"/>
          <w:color w:val="1A2F3A"/>
          <w:sz w:val="22"/>
          <w:szCs w:val="22"/>
        </w:rPr>
        <w:t xml:space="preserve">This project builds a Mixed Integer Linear Programming (MILP) model that jointly optimizes two levers simultaneously:</w:t>
      </w:r>
    </w:p>
    <w:p>
      <w:pPr>
        <w:pStyle w:val="ListParagraph"/>
        <w:numPr>
          <w:ilvl w:val="0"/>
          <w:numId w:val="2"/>
        </w:numPr>
        <w:spacing w:after="60" w:before="60"/>
      </w:pPr>
      <w:r>
        <w:rPr>
          <w:rFonts w:ascii="Arial" w:cs="Arial" w:eastAsia="Arial" w:hAnsi="Arial"/>
          <w:color w:val="1A2F3A"/>
          <w:sz w:val="22"/>
          <w:szCs w:val="22"/>
        </w:rPr>
        <w:t xml:space="preserve">Fare-class allocation — how many cabins to sell in each of three pricing tiers (Early-Bird, Standard, Premium) across every sailing and cabin type.</w:t>
      </w:r>
    </w:p>
    <w:p>
      <w:pPr>
        <w:pStyle w:val="ListParagraph"/>
        <w:numPr>
          <w:ilvl w:val="0"/>
          <w:numId w:val="2"/>
        </w:numPr>
        <w:spacing w:after="60" w:before="60"/>
      </w:pPr>
      <w:r>
        <w:rPr>
          <w:rFonts w:ascii="Arial" w:cs="Arial" w:eastAsia="Arial" w:hAnsi="Arial"/>
          <w:color w:val="1A2F3A"/>
          <w:sz w:val="22"/>
          <w:szCs w:val="22"/>
        </w:rPr>
        <w:t xml:space="preserve">Controlled overbooking — how many additional bookings to accept beyond physical cabin capacity, accounting for the statistical reality that a predictable share of booked passengers will not show up.</w:t>
      </w:r>
    </w:p>
    <w:p>
      <w:pPr>
        <w:spacing w:after="60" w:before="0"/>
      </w:pPr>
      <w:r>
        <w:t xml:space="preserve"/>
      </w:r>
    </w:p>
    <w:p>
      <w:pPr>
        <w:spacing w:after="100" w:before="80"/>
      </w:pPr>
      <w:r>
        <w:rPr>
          <w:rFonts w:ascii="Arial" w:cs="Arial" w:eastAsia="Arial" w:hAnsi="Arial"/>
          <w:b w:val="false"/>
          <w:bCs w:val="false"/>
          <w:color w:val="1A2F3A"/>
          <w:sz w:val="22"/>
          <w:szCs w:val="22"/>
        </w:rPr>
        <w:t xml:space="preserve">The model spans 20 sailings, 7 cabin types, and 3 fare classes — producing 420 decision variables and a single objective: maximize net profit after accounting for denied boarding compensation costs when overbooking backfires.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20 Sailings</w:t>
            </w:r>
          </w:p>
        </w:tc>
        <w:tc>
          <w:tcPr>
            <w:tcW w:type="dxa" w:w="234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7 Cabin Types</w:t>
            </w:r>
          </w:p>
        </w:tc>
        <w:tc>
          <w:tcPr>
            <w:tcW w:type="dxa" w:w="234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3 Fare Classes</w:t>
            </w:r>
          </w:p>
        </w:tc>
        <w:tc>
          <w:tcPr>
            <w:tcW w:type="dxa" w:w="234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420 Decision Variables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A2F3A"/>
                <w:sz w:val="20"/>
                <w:szCs w:val="20"/>
              </w:rPr>
              <w:t xml:space="preserve">S1 through S20</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A2F3A"/>
                <w:sz w:val="20"/>
                <w:szCs w:val="20"/>
              </w:rPr>
              <w:t xml:space="preserve">Balcony, Club Balcony, Haven, Inside, Oceanview, Studio, Suite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A2F3A"/>
                <w:sz w:val="20"/>
                <w:szCs w:val="20"/>
              </w:rPr>
              <w:t xml:space="preserve">Early-Bird, Standard, Premium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center"/>
            </w:pPr>
            <w:r>
              <w:rPr>
                <w:rFonts w:ascii="Arial" w:cs="Arial" w:eastAsia="Arial" w:hAnsi="Arial"/>
                <w:b w:val="false"/>
                <w:bCs w:val="false"/>
                <w:color w:val="1A2F3A"/>
                <w:sz w:val="20"/>
                <w:szCs w:val="20"/>
              </w:rPr>
              <w:t xml:space="preserve">x(s,c,f) integers optimized by Excel Solver</w:t>
            </w:r>
          </w:p>
        </w:tc>
      </w:tr>
    </w:tbl>
    <w:p>
      <w:pPr>
        <w:spacing w:after="12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2. How Is It Used?</w:t>
      </w:r>
    </w:p>
    <w:p>
      <w:pPr>
        <w:pStyle w:val="Heading2"/>
        <w:spacing w:after="120" w:before="280"/>
      </w:pPr>
      <w:r>
        <w:rPr>
          <w:rFonts w:ascii="Arial" w:cs="Arial" w:eastAsia="Arial" w:hAnsi="Arial"/>
          <w:b/>
          <w:bCs/>
          <w:color w:val="1A2F3A"/>
          <w:sz w:val="28"/>
          <w:szCs w:val="28"/>
        </w:rPr>
        <w:t xml:space="preserve">Step 1 — Open the Excel Model</w:t>
      </w:r>
    </w:p>
    <w:p>
      <w:pPr>
        <w:spacing w:after="100" w:before="80"/>
      </w:pPr>
      <w:r>
        <w:rPr>
          <w:rFonts w:ascii="Arial" w:cs="Arial" w:eastAsia="Arial" w:hAnsi="Arial"/>
          <w:b w:val="false"/>
          <w:bCs w:val="false"/>
          <w:color w:val="1A2F3A"/>
          <w:sz w:val="22"/>
          <w:szCs w:val="22"/>
        </w:rPr>
        <w:t xml:space="preserve">The file NCL_profit_maximization.xlsx contains a single Sheet1 with one row per sailing × cabin type × fare class combination (420 rows). Each row carries all input parameters and computed output columns.</w:t>
      </w:r>
    </w:p>
    <w:p>
      <w:pPr>
        <w:spacing w:after="60" w:before="0"/>
      </w:pPr>
      <w:r>
        <w:t xml:space="preserve"/>
      </w:r>
    </w:p>
    <w:p>
      <w:pPr>
        <w:pStyle w:val="Heading2"/>
        <w:spacing w:after="120" w:before="280"/>
      </w:pPr>
      <w:r>
        <w:rPr>
          <w:rFonts w:ascii="Arial" w:cs="Arial" w:eastAsia="Arial" w:hAnsi="Arial"/>
          <w:b/>
          <w:bCs/>
          <w:color w:val="1A2F3A"/>
          <w:sz w:val="28"/>
          <w:szCs w:val="28"/>
        </w:rPr>
        <w:t xml:space="preserve">Step 2 — Set the No-Show Rate Scenario</w:t>
      </w:r>
    </w:p>
    <w:p>
      <w:pPr>
        <w:spacing w:after="100" w:before="80"/>
      </w:pPr>
      <w:r>
        <w:rPr>
          <w:rFonts w:ascii="Arial" w:cs="Arial" w:eastAsia="Arial" w:hAnsi="Arial"/>
          <w:b w:val="false"/>
          <w:bCs w:val="false"/>
          <w:color w:val="1A2F3A"/>
          <w:sz w:val="22"/>
          <w:szCs w:val="22"/>
        </w:rPr>
        <w:t xml:space="preserve">Cell Q2 controls the no-show rate (ns). Enter one of three values to switch scenarios:</w:t>
      </w:r>
    </w:p>
    <w:p>
      <w:pPr>
        <w:pStyle w:val="ListParagraph"/>
        <w:numPr>
          <w:ilvl w:val="0"/>
          <w:numId w:val="2"/>
        </w:numPr>
        <w:spacing w:after="60" w:before="60"/>
      </w:pPr>
      <w:r>
        <w:rPr>
          <w:rFonts w:ascii="Arial" w:cs="Arial" w:eastAsia="Arial" w:hAnsi="Arial"/>
          <w:color w:val="1A2F3A"/>
          <w:sz w:val="22"/>
          <w:szCs w:val="22"/>
        </w:rPr>
        <w:t xml:space="preserve">0.01 — Conservative (99% show-up rate, highest compensation risk)</w:t>
      </w:r>
    </w:p>
    <w:p>
      <w:pPr>
        <w:pStyle w:val="ListParagraph"/>
        <w:numPr>
          <w:ilvl w:val="0"/>
          <w:numId w:val="2"/>
        </w:numPr>
        <w:spacing w:after="60" w:before="60"/>
      </w:pPr>
      <w:r>
        <w:rPr>
          <w:rFonts w:ascii="Arial" w:cs="Arial" w:eastAsia="Arial" w:hAnsi="Arial"/>
          <w:color w:val="1A2F3A"/>
          <w:sz w:val="22"/>
          <w:szCs w:val="22"/>
        </w:rPr>
        <w:t xml:space="preserve">0.03 — Base case (97% show-up; default used for primary results)</w:t>
      </w:r>
    </w:p>
    <w:p>
      <w:pPr>
        <w:pStyle w:val="ListParagraph"/>
        <w:numPr>
          <w:ilvl w:val="0"/>
          <w:numId w:val="2"/>
        </w:numPr>
        <w:spacing w:after="60" w:before="60"/>
      </w:pPr>
      <w:r>
        <w:rPr>
          <w:rFonts w:ascii="Arial" w:cs="Arial" w:eastAsia="Arial" w:hAnsi="Arial"/>
          <w:color w:val="1A2F3A"/>
          <w:sz w:val="22"/>
          <w:szCs w:val="22"/>
        </w:rPr>
        <w:t xml:space="preserve">0.05 — Optimistic (95% show-up; lowest compensation cost)</w:t>
      </w:r>
    </w:p>
    <w:p>
      <w:pPr>
        <w:spacing w:after="60" w:before="0"/>
      </w:pPr>
      <w:r>
        <w:t xml:space="preserve"/>
      </w:r>
    </w:p>
    <w:p>
      <w:pPr>
        <w:pStyle w:val="Heading2"/>
        <w:spacing w:after="120" w:before="280"/>
      </w:pPr>
      <w:r>
        <w:rPr>
          <w:rFonts w:ascii="Arial" w:cs="Arial" w:eastAsia="Arial" w:hAnsi="Arial"/>
          <w:b/>
          <w:bCs/>
          <w:color w:val="1A2F3A"/>
          <w:sz w:val="28"/>
          <w:szCs w:val="28"/>
        </w:rPr>
        <w:t xml:space="preserve">Step 3 — Run Excel Solver</w:t>
      </w:r>
    </w:p>
    <w:p>
      <w:pPr>
        <w:spacing w:after="100" w:before="80"/>
      </w:pPr>
      <w:r>
        <w:rPr>
          <w:rFonts w:ascii="Arial" w:cs="Arial" w:eastAsia="Arial" w:hAnsi="Arial"/>
          <w:b w:val="false"/>
          <w:bCs w:val="false"/>
          <w:color w:val="1A2F3A"/>
          <w:sz w:val="22"/>
          <w:szCs w:val="22"/>
        </w:rPr>
        <w:t xml:space="preserve">Navigate to Data → Solver and confirm the following settings before clicking Solve:</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Solver Field</w:t>
            </w:r>
          </w:p>
        </w:tc>
        <w:tc>
          <w:tcPr>
            <w:tcW w:type="dxa" w:w="686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Objective Cell</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$P$4 — Maximize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Variable Cells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$I$5:$I$346, $I$351:$I$464</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Constraints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$I$5:$I$346 &lt;= $F$5:$F$346 (demand cap) | $I$5:$I$346 int | $F$351:$F$464 &lt;= $G$351:$G$464 (capacity) | $F$351:$F$464 &lt;= $J$351:$J$464 (OB cap)</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Solver Engine</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GRG Nonlinear or Simplex LP</w:t>
            </w:r>
          </w:p>
        </w:tc>
      </w:tr>
    </w:tbl>
    <w:p>
      <w:pPr>
        <w:spacing w:after="60" w:before="0"/>
      </w:pPr>
      <w:r>
        <w:t xml:space="preserve"/>
      </w:r>
    </w:p>
    <w:p>
      <w:pPr>
        <w:pStyle w:val="Heading2"/>
        <w:spacing w:after="120" w:before="280"/>
      </w:pPr>
      <w:r>
        <w:rPr>
          <w:rFonts w:ascii="Arial" w:cs="Arial" w:eastAsia="Arial" w:hAnsi="Arial"/>
          <w:b/>
          <w:bCs/>
          <w:color w:val="1A2F3A"/>
          <w:sz w:val="28"/>
          <w:szCs w:val="28"/>
        </w:rPr>
        <w:t xml:space="preserve">Step 4 — Read the Results</w:t>
      </w:r>
    </w:p>
    <w:p>
      <w:pPr>
        <w:spacing w:after="100" w:before="80"/>
      </w:pPr>
      <w:r>
        <w:rPr>
          <w:rFonts w:ascii="Arial" w:cs="Arial" w:eastAsia="Arial" w:hAnsi="Arial"/>
          <w:b w:val="false"/>
          <w:bCs w:val="false"/>
          <w:color w:val="1A2F3A"/>
          <w:sz w:val="22"/>
          <w:szCs w:val="22"/>
        </w:rPr>
        <w:t xml:space="preserve">After Solver converges, read the outputs from the following cells and columns:</w:t>
      </w:r>
    </w:p>
    <w:p>
      <w:pPr>
        <w:pStyle w:val="ListParagraph"/>
        <w:numPr>
          <w:ilvl w:val="0"/>
          <w:numId w:val="2"/>
        </w:numPr>
        <w:spacing w:after="60" w:before="60"/>
      </w:pPr>
      <w:r>
        <w:rPr>
          <w:rFonts w:ascii="Arial" w:cs="Arial" w:eastAsia="Arial" w:hAnsi="Arial"/>
          <w:color w:val="1A2F3A"/>
          <w:sz w:val="22"/>
          <w:szCs w:val="22"/>
        </w:rPr>
        <w:t xml:space="preserve">Cell P4 — Total optimized net profit across all 20 sailings</w:t>
      </w:r>
    </w:p>
    <w:p>
      <w:pPr>
        <w:pStyle w:val="ListParagraph"/>
        <w:numPr>
          <w:ilvl w:val="0"/>
          <w:numId w:val="2"/>
        </w:numPr>
        <w:spacing w:after="60" w:before="60"/>
      </w:pPr>
      <w:r>
        <w:rPr>
          <w:rFonts w:ascii="Arial" w:cs="Arial" w:eastAsia="Arial" w:hAnsi="Arial"/>
          <w:color w:val="1A2F3A"/>
          <w:sz w:val="22"/>
          <w:szCs w:val="22"/>
        </w:rPr>
        <w:t xml:space="preserve">Column K — Revenue per row (Price × Decision Bookings)</w:t>
      </w:r>
    </w:p>
    <w:p>
      <w:pPr>
        <w:pStyle w:val="ListParagraph"/>
        <w:numPr>
          <w:ilvl w:val="0"/>
          <w:numId w:val="2"/>
        </w:numPr>
        <w:spacing w:after="60" w:before="60"/>
      </w:pPr>
      <w:r>
        <w:rPr>
          <w:rFonts w:ascii="Arial" w:cs="Arial" w:eastAsia="Arial" w:hAnsi="Arial"/>
          <w:color w:val="1A2F3A"/>
          <w:sz w:val="22"/>
          <w:szCs w:val="22"/>
        </w:rPr>
        <w:t xml:space="preserve">Column L — Expected overbooking compensation per row</w:t>
      </w:r>
    </w:p>
    <w:p>
      <w:pPr>
        <w:pStyle w:val="ListParagraph"/>
        <w:numPr>
          <w:ilvl w:val="0"/>
          <w:numId w:val="2"/>
        </w:numPr>
        <w:spacing w:after="60" w:before="60"/>
      </w:pPr>
      <w:r>
        <w:rPr>
          <w:rFonts w:ascii="Arial" w:cs="Arial" w:eastAsia="Arial" w:hAnsi="Arial"/>
          <w:color w:val="1A2F3A"/>
          <w:sz w:val="22"/>
          <w:szCs w:val="22"/>
        </w:rPr>
        <w:t xml:space="preserve">Column M — Net row profit (K minus L); Solver maximizes the sum of all M values</w:t>
      </w:r>
    </w:p>
    <w:p>
      <w:pPr>
        <w:spacing w:after="60" w:before="0"/>
      </w:pPr>
      <w:r>
        <w:t xml:space="preserve"/>
      </w:r>
    </w:p>
    <w:p>
      <w:pPr>
        <w:pStyle w:val="Heading2"/>
        <w:spacing w:after="120" w:before="280"/>
      </w:pPr>
      <w:r>
        <w:rPr>
          <w:rFonts w:ascii="Arial" w:cs="Arial" w:eastAsia="Arial" w:hAnsi="Arial"/>
          <w:b/>
          <w:bCs/>
          <w:color w:val="1A2F3A"/>
          <w:sz w:val="28"/>
          <w:szCs w:val="28"/>
        </w:rPr>
        <w:t xml:space="preserve">Interpreting the Output</w:t>
      </w:r>
    </w:p>
    <w:p>
      <w:pPr>
        <w:spacing w:after="100" w:before="80"/>
      </w:pPr>
      <w:r>
        <w:rPr>
          <w:rFonts w:ascii="Arial" w:cs="Arial" w:eastAsia="Arial" w:hAnsi="Arial"/>
          <w:b w:val="false"/>
          <w:bCs w:val="false"/>
          <w:color w:val="1A2F3A"/>
          <w:sz w:val="22"/>
          <w:szCs w:val="22"/>
        </w:rPr>
        <w:t xml:space="preserve">The model tells you, for each sailing and cabin type: exactly how many cabins to sell in each fare class, and how many additional bookings to accept beyond physical capacity. These outputs directly translate to revenue management policy — booking limits per class, overbooking authorization levels, and expected compensation budget.</w:t>
      </w:r>
    </w:p>
    <w:p>
      <w:pPr>
        <w:spacing w:after="12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3. Limitations</w:t>
      </w:r>
    </w:p>
    <w:p>
      <w:pPr>
        <w:spacing w:after="100" w:before="80"/>
      </w:pPr>
      <w:r>
        <w:rPr>
          <w:rFonts w:ascii="Arial" w:cs="Arial" w:eastAsia="Arial" w:hAnsi="Arial"/>
          <w:b w:val="false"/>
          <w:bCs w:val="false"/>
          <w:color w:val="1A2F3A"/>
          <w:sz w:val="22"/>
          <w:szCs w:val="22"/>
        </w:rPr>
        <w:t xml:space="preserve">Every model involves simplifying assumptions. Understanding where this model falls short is essential for responsible deployment.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1</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Demand is a ceiling, not a distribution. The model treats expected demand D(s,c,f) as a hard upper bound rather than a probability distribution. In reality, actual bookings fluctuate around a forecast — so the model may over-allocate to one fare class while another goes unsold.</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2</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Single no-show rate per scenario. All cabin types share the same no-show rate (1%, 3%, or 5%). In practice, Haven suite guests cancel at very different rates than inside cabin guests. Cabin-specific no-show rates would improve accuracy significantly.</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3</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Static, one-shot optimization. The model runs once per sailing with fixed inputs. Real revenue management is dynamic — booking limits are updated daily as the sailing date approaches and actual demand materializes. This model has no rolling re-optimization.</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4</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No fare class substitution. The model assumes customers who cannot book their preferred fare class simply do not book. In reality, some Early-Bird customers will upgrade to Standard if Early-Bird is sold out — ignoring this understates revenue potential.</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5</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Compensation costs are fixed estimates. Denied boarding compensation (e.g., $500 for Balcony) is taken from NCL Terms &amp; Conditions and industry norms. Actual costs depend on negotiation, rebooking availability, goodwill credits, and legal jurisdiction.</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6</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No seasonality or sailing-specific demand variation. All 20 sailings use the same fare structure. A Caribbean sailing in peak season has fundamentally different demand elasticity than a repositioning voyage — the model does not capture this.</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007B7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Limitation 7</w:t>
            </w:r>
          </w:p>
        </w:tc>
        <w:tc>
          <w:tcPr>
            <w:tcW w:type="dxa" w:w="7920"/>
            <w:tcBorders>
              <w:top w:val="single" w:color="CCCCCC" w:sz="1"/>
              <w:left w:val="single" w:color="CCCCCC" w:sz="1"/>
              <w:bottom w:val="single" w:color="CCCCCC" w:sz="1"/>
              <w:right w:val="single" w:color="CCCCCC" w:sz="1"/>
            </w:tcBorders>
            <w:shd w:fill="E8F5F5" w:val="clear"/>
            <w:tcMar>
              <w:top w:type="dxa" w:w="100"/>
              <w:left w:type="dxa" w:w="160"/>
              <w:bottom w:type="dxa" w:w="100"/>
              <w:right w:type="dxa" w:w="140"/>
            </w:tcMar>
          </w:tcPr>
          <w:p>
            <w:r>
              <w:rPr>
                <w:rFonts w:ascii="Arial" w:cs="Arial" w:eastAsia="Arial" w:hAnsi="Arial"/>
                <w:color w:val="1A2F3A"/>
                <w:sz w:val="22"/>
                <w:szCs w:val="22"/>
              </w:rPr>
              <w:t xml:space="preserve">Integer programming at scale requires computation time. With 420 integer variables, Excel Solver's branch-and-bound may be slow or may not find a globally optimal solution for large instances. Commercial solvers (Gurobi, CPLEX) would be needed at full fleet scale.</w:t>
            </w:r>
          </w:p>
        </w:tc>
      </w:tr>
    </w:tbl>
    <w:p>
      <w:pPr>
        <w:spacing w:after="12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4. How to Improve the Model</w:t>
      </w:r>
    </w:p>
    <w:p>
      <w:pPr>
        <w:spacing w:after="100" w:before="80"/>
      </w:pPr>
      <w:r>
        <w:rPr>
          <w:rFonts w:ascii="Arial" w:cs="Arial" w:eastAsia="Arial" w:hAnsi="Arial"/>
          <w:b w:val="false"/>
          <w:bCs w:val="false"/>
          <w:color w:val="1A2F3A"/>
          <w:sz w:val="22"/>
          <w:szCs w:val="22"/>
        </w:rPr>
        <w:t xml:space="preserve">These enhancements are listed roughly in order of impact-to-effort ratio.</w:t>
      </w:r>
    </w:p>
    <w:p>
      <w:pPr>
        <w:spacing w:after="60" w:before="0"/>
      </w:pPr>
      <w:r>
        <w:t xml:space="preserve"/>
      </w:r>
    </w:p>
    <w:p>
      <w:pPr>
        <w:pStyle w:val="Heading2"/>
        <w:spacing w:after="120" w:before="280"/>
      </w:pPr>
      <w:r>
        <w:rPr>
          <w:rFonts w:ascii="Arial" w:cs="Arial" w:eastAsia="Arial" w:hAnsi="Arial"/>
          <w:b/>
          <w:bCs/>
          <w:color w:val="1A2F3A"/>
          <w:sz w:val="28"/>
          <w:szCs w:val="28"/>
        </w:rPr>
        <w:t xml:space="preserve">4.1  Replace Fixed Demand with Stochastic Demand</w:t>
      </w:r>
    </w:p>
    <w:p>
      <w:pPr>
        <w:spacing w:after="100" w:before="80"/>
      </w:pPr>
      <w:r>
        <w:rPr>
          <w:rFonts w:ascii="Arial" w:cs="Arial" w:eastAsia="Arial" w:hAnsi="Arial"/>
          <w:b w:val="false"/>
          <w:bCs w:val="false"/>
          <w:color w:val="1A2F3A"/>
          <w:sz w:val="22"/>
          <w:szCs w:val="22"/>
        </w:rPr>
        <w:t xml:space="preserve">Model demand D(s,c,f) as a random variable with a distribution (e.g., Poisson or Normal) rather than a single number. Use Sample Average Approximation (SAA) or two-stage stochastic programming to find a booking policy that performs well across demand realizations, not just at the mean.</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4.2  Cabin-Type-Specific No-Show Rates</w:t>
      </w:r>
    </w:p>
    <w:p>
      <w:pPr>
        <w:spacing w:after="100" w:before="80"/>
      </w:pPr>
      <w:r>
        <w:rPr>
          <w:rFonts w:ascii="Arial" w:cs="Arial" w:eastAsia="Arial" w:hAnsi="Arial"/>
          <w:b w:val="false"/>
          <w:bCs w:val="false"/>
          <w:color w:val="1A2F3A"/>
          <w:sz w:val="22"/>
          <w:szCs w:val="22"/>
        </w:rPr>
        <w:t xml:space="preserve">Replace the global ns parameter with a vector ns(c) calibrated from NCL's historical booking and show-up data. Haven and Suite guests book further in advance and cancel less frequently; inside cabin guests show higher no-show rates. This materially changes the optimal overbooking levels for premium cabins.</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4.3  Rolling Re-Optimization (Dynamic Revenue Management)</w:t>
      </w:r>
    </w:p>
    <w:p>
      <w:pPr>
        <w:spacing w:after="100" w:before="80"/>
      </w:pPr>
      <w:r>
        <w:rPr>
          <w:rFonts w:ascii="Arial" w:cs="Arial" w:eastAsia="Arial" w:hAnsi="Arial"/>
          <w:b w:val="false"/>
          <w:bCs w:val="false"/>
          <w:color w:val="1A2F3A"/>
          <w:sz w:val="22"/>
          <w:szCs w:val="22"/>
        </w:rPr>
        <w:t xml:space="preserve">Re-run Solver at fixed intervals (e.g., 90, 60, 30, 14 days before departure) as bookings accumulate and remaining demand uncertainty decreases. Update D(s,c,f) with actual booking pace data. This converts the static model into a dynamic booking control system, which is how airline and hotel revenue management systems actually work.</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4.4  Add Demand Substitution / Nesting</w:t>
      </w:r>
    </w:p>
    <w:p>
      <w:pPr>
        <w:spacing w:after="100" w:before="80"/>
      </w:pPr>
      <w:r>
        <w:rPr>
          <w:rFonts w:ascii="Arial" w:cs="Arial" w:eastAsia="Arial" w:hAnsi="Arial"/>
          <w:b w:val="false"/>
          <w:bCs w:val="false"/>
          <w:color w:val="1A2F3A"/>
          <w:sz w:val="22"/>
          <w:szCs w:val="22"/>
        </w:rPr>
        <w:t xml:space="preserve">Implement nested booking limits — when Early-Bird inventory is exhausted, allow the system to capture demand that would have gone unsold by offering Standard or Premium fare with a booking incentive. This is standard in airline EMSR (Expected Marginal Seat Revenue) models and would increase revenue per sailing.</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4.5  Sailing-Specific Demand Forecasting</w:t>
      </w:r>
    </w:p>
    <w:p>
      <w:pPr>
        <w:spacing w:after="100" w:before="80"/>
      </w:pPr>
      <w:r>
        <w:rPr>
          <w:rFonts w:ascii="Arial" w:cs="Arial" w:eastAsia="Arial" w:hAnsi="Arial"/>
          <w:b w:val="false"/>
          <w:bCs w:val="false"/>
          <w:color w:val="1A2F3A"/>
          <w:sz w:val="22"/>
          <w:szCs w:val="22"/>
        </w:rPr>
        <w:t xml:space="preserve">Build a regression or machine learning model that predicts D(s,c,f) as a function of sailing characteristics: departure date, itinerary, ship class, historical booking pace, competitive pricing, and marketing spend. Feed these forecasts into the optimizer rather than using a single occupancy-ratio estimate.</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4.6  Expand to Full Fleet</w:t>
      </w:r>
    </w:p>
    <w:p>
      <w:pPr>
        <w:spacing w:after="100" w:before="80"/>
      </w:pPr>
      <w:r>
        <w:rPr>
          <w:rFonts w:ascii="Arial" w:cs="Arial" w:eastAsia="Arial" w:hAnsi="Arial"/>
          <w:b w:val="false"/>
          <w:bCs w:val="false"/>
          <w:color w:val="1A2F3A"/>
          <w:sz w:val="22"/>
          <w:szCs w:val="22"/>
        </w:rPr>
        <w:t xml:space="preserve">The model currently covers one ship across 20 sailings. NCL operates 19+ ships. Extending to the full fleet requires either solving one model per ship in parallel, or building a fleet-level model with shared constraints (e.g., crew availability, port slot constraints). A commercial MILP solver (Gurobi, CPLEX) would be needed at that scale.</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4.7  Incorporate Guest Lifetime Value</w:t>
      </w:r>
    </w:p>
    <w:p>
      <w:pPr>
        <w:spacing w:after="100" w:before="80"/>
      </w:pPr>
      <w:r>
        <w:rPr>
          <w:rFonts w:ascii="Arial" w:cs="Arial" w:eastAsia="Arial" w:hAnsi="Arial"/>
          <w:b w:val="false"/>
          <w:bCs w:val="false"/>
          <w:color w:val="1A2F3A"/>
          <w:sz w:val="22"/>
          <w:szCs w:val="22"/>
        </w:rPr>
        <w:t xml:space="preserve">Add a guest loyalty dimension. A Premium fare customer who boards is worth more than their ticket price alone if they generate future bookings, onboard spend, and referrals. Weighting the objective function by estimated lifetime value changes which cabins and fare classes get priority allocation.</w:t>
      </w:r>
    </w:p>
    <w:p>
      <w:pPr>
        <w:spacing w:after="12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5. Where Else Can This Model Be Applied?</w:t>
      </w:r>
    </w:p>
    <w:p>
      <w:pPr>
        <w:spacing w:after="100" w:before="80"/>
      </w:pPr>
      <w:r>
        <w:rPr>
          <w:rFonts w:ascii="Arial" w:cs="Arial" w:eastAsia="Arial" w:hAnsi="Arial"/>
          <w:b w:val="false"/>
          <w:bCs w:val="false"/>
          <w:color w:val="1A2F3A"/>
          <w:sz w:val="22"/>
          <w:szCs w:val="22"/>
        </w:rPr>
        <w:t xml:space="preserve">The underlying MILP framework — maximize revenue from selling a fixed, perishable inventory across multiple product classes with uncertain demand and controlled overbooking — applies broadly across industries.</w:t>
      </w:r>
    </w:p>
    <w:p>
      <w:pPr>
        <w:spacing w:after="60" w:before="0"/>
      </w:pPr>
      <w:r>
        <w:t xml:space="preserve"/>
      </w:r>
    </w:p>
    <w:p>
      <w:pPr>
        <w:pStyle w:val="Heading2"/>
        <w:spacing w:after="120" w:before="280"/>
      </w:pPr>
      <w:r>
        <w:rPr>
          <w:rFonts w:ascii="Arial" w:cs="Arial" w:eastAsia="Arial" w:hAnsi="Arial"/>
          <w:b/>
          <w:bCs/>
          <w:color w:val="1A2F3A"/>
          <w:sz w:val="28"/>
          <w:szCs w:val="28"/>
        </w:rPr>
        <w:t xml:space="preserve">5.1  Airlines</w:t>
      </w:r>
    </w:p>
    <w:p>
      <w:pPr>
        <w:spacing w:after="100" w:before="80"/>
      </w:pPr>
      <w:r>
        <w:rPr>
          <w:rFonts w:ascii="Arial" w:cs="Arial" w:eastAsia="Arial" w:hAnsi="Arial"/>
          <w:b w:val="false"/>
          <w:bCs w:val="false"/>
          <w:color w:val="1A2F3A"/>
          <w:sz w:val="22"/>
          <w:szCs w:val="22"/>
        </w:rPr>
        <w:t xml:space="preserve">This is where the methodology originated. Airlines run equivalent models across hundreds of routes and dozens of fare classes daily. The same capacity constraints, fare-class demand ceilings, and overbooking compensation logic apply directly. NCL's model could be adapted to airline seat inventory control with minimal structural changes.</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5.2  Hotels and Resorts</w:t>
      </w:r>
    </w:p>
    <w:p>
      <w:pPr>
        <w:spacing w:after="100" w:before="80"/>
      </w:pPr>
      <w:r>
        <w:rPr>
          <w:rFonts w:ascii="Arial" w:cs="Arial" w:eastAsia="Arial" w:hAnsi="Arial"/>
          <w:b w:val="false"/>
          <w:bCs w:val="false"/>
          <w:color w:val="1A2F3A"/>
          <w:sz w:val="22"/>
          <w:szCs w:val="22"/>
        </w:rPr>
        <w:t xml:space="preserve">Hotels face identical economics: fixed room inventory, multiple rate categories (advance purchase, standard, rack rate), and overbooking to compensate for cancellations. The model maps directly — sailings become properties, cabin types become room categories, fare classes become rate tiers. Major hotel chains (Marriott, Hilton) run exactly this type of optimization.</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5.3  Short-Term Rental Platforms (Airbnb, VRBO)</w:t>
      </w:r>
    </w:p>
    <w:p>
      <w:pPr>
        <w:spacing w:after="100" w:before="80"/>
      </w:pPr>
      <w:r>
        <w:rPr>
          <w:rFonts w:ascii="Arial" w:cs="Arial" w:eastAsia="Arial" w:hAnsi="Arial"/>
          <w:b w:val="false"/>
          <w:bCs w:val="false"/>
          <w:color w:val="1A2F3A"/>
          <w:sz w:val="22"/>
          <w:szCs w:val="22"/>
        </w:rPr>
        <w:t xml:space="preserve">Individual hosts and property managers can use the framework to set dynamic pricing and minimum stay requirements across calendar dates. The 'capacity' is the number of nights available; the 'fare classes' are short-stay vs. extended-stay rate structures; the 'no-show' analog is last-minute cancellations.</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5.4  Car Rental and Fleet Operations</w:t>
      </w:r>
    </w:p>
    <w:p>
      <w:pPr>
        <w:spacing w:after="100" w:before="80"/>
      </w:pPr>
      <w:r>
        <w:rPr>
          <w:rFonts w:ascii="Arial" w:cs="Arial" w:eastAsia="Arial" w:hAnsi="Arial"/>
          <w:b w:val="false"/>
          <w:bCs w:val="false"/>
          <w:color w:val="1A2F3A"/>
          <w:sz w:val="22"/>
          <w:szCs w:val="22"/>
        </w:rPr>
        <w:t xml:space="preserve">Car rental companies (Hertz, Enterprise) overbook vehicle categories because renters frequently cancel or no-show. The model applies with vehicle categories replacing cabin types, rental durations replacing fare classes, and upgrade costs replacing denied boarding compensation.</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5.5  Event and Entertainment Ticketing</w:t>
      </w:r>
    </w:p>
    <w:p>
      <w:pPr>
        <w:spacing w:after="100" w:before="80"/>
      </w:pPr>
      <w:r>
        <w:rPr>
          <w:rFonts w:ascii="Arial" w:cs="Arial" w:eastAsia="Arial" w:hAnsi="Arial"/>
          <w:b w:val="false"/>
          <w:bCs w:val="false"/>
          <w:color w:val="1A2F3A"/>
          <w:sz w:val="22"/>
          <w:szCs w:val="22"/>
        </w:rPr>
        <w:t xml:space="preserve">Concerts, sports events, and theme parks sell tiered tickets (general admission, premium, VIP) for a fixed venue capacity. Dynamic pricing and inventory allocation across tiers is structurally identical to the NCL model. The compensation analog is refunds and vouchers for oversold events.</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5.6  Healthcare: Appointment and Bed Management</w:t>
      </w:r>
    </w:p>
    <w:p>
      <w:pPr>
        <w:spacing w:after="100" w:before="80"/>
      </w:pPr>
      <w:r>
        <w:rPr>
          <w:rFonts w:ascii="Arial" w:cs="Arial" w:eastAsia="Arial" w:hAnsi="Arial"/>
          <w:b w:val="false"/>
          <w:bCs w:val="false"/>
          <w:color w:val="1A2F3A"/>
          <w:sz w:val="22"/>
          <w:szCs w:val="22"/>
        </w:rPr>
        <w:t xml:space="preserve">Hospitals overbook clinic appointment slots because patient no-shows are predictable and costly (empty slots). The model can optimize appointment allocation across appointment types (routine, urgent, specialist) with overbooking calibrated to no-show rates by appointment category. On the inpatient side, bed allocation across wards mirrors cabin type allocation.</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5.7  Freight and Cargo Logistics</w:t>
      </w:r>
    </w:p>
    <w:p>
      <w:pPr>
        <w:spacing w:after="100" w:before="80"/>
      </w:pPr>
      <w:r>
        <w:rPr>
          <w:rFonts w:ascii="Arial" w:cs="Arial" w:eastAsia="Arial" w:hAnsi="Arial"/>
          <w:b w:val="false"/>
          <w:bCs w:val="false"/>
          <w:color w:val="1A2F3A"/>
          <w:sz w:val="22"/>
          <w:szCs w:val="22"/>
        </w:rPr>
        <w:t xml:space="preserve">Shipping companies and air cargo operators sell capacity (container space, freight tonnage) across shipper classes (spot, contract, premium) for fixed sailing or flight schedules. Demand uncertainty, overbooking, and off-loading costs are direct analogs to the passenger model.</w:t>
      </w:r>
    </w:p>
    <w:p>
      <w:pPr>
        <w:spacing w:after="36" w:before="0"/>
      </w:pPr>
      <w:r>
        <w:t xml:space="preserve"/>
      </w:r>
    </w:p>
    <w:p>
      <w:pPr>
        <w:pStyle w:val="Heading2"/>
        <w:spacing w:after="120" w:before="280"/>
      </w:pPr>
      <w:r>
        <w:rPr>
          <w:rFonts w:ascii="Arial" w:cs="Arial" w:eastAsia="Arial" w:hAnsi="Arial"/>
          <w:b/>
          <w:bCs/>
          <w:color w:val="1A2F3A"/>
          <w:sz w:val="28"/>
          <w:szCs w:val="28"/>
        </w:rPr>
        <w:t xml:space="preserve">5.8  Broadcast and Digital Advertising Inventory</w:t>
      </w:r>
    </w:p>
    <w:p>
      <w:pPr>
        <w:spacing w:after="100" w:before="80"/>
      </w:pPr>
      <w:r>
        <w:rPr>
          <w:rFonts w:ascii="Arial" w:cs="Arial" w:eastAsia="Arial" w:hAnsi="Arial"/>
          <w:b w:val="false"/>
          <w:bCs w:val="false"/>
          <w:color w:val="1A2F3A"/>
          <w:sz w:val="22"/>
          <w:szCs w:val="22"/>
        </w:rPr>
        <w:t xml:space="preserve">TV networks and digital publishers sell advertising slots across dayparts or audience segments. Available impressions are the fixed inventory; advertiser categories are the fare classes; unsold inventory is the underage cost; and oversold impressions requiring make-goods are the overage cost. The MILP structure applies directly.</w:t>
      </w:r>
    </w:p>
    <w:p>
      <w:pPr>
        <w:spacing w:after="120" w:before="0"/>
      </w:pPr>
      <w:r>
        <w:t xml:space="preserve"/>
      </w:r>
    </w:p>
    <w:p>
      <w:pPr>
        <w:pStyle w:val="Heading1"/>
        <w:pBdr>
          <w:bottom w:val="single" w:color="007B7F" w:sz="8" w:space="4"/>
        </w:pBdr>
        <w:spacing w:after="160" w:before="360"/>
      </w:pPr>
      <w:r>
        <w:rPr>
          <w:rFonts w:ascii="Arial" w:cs="Arial" w:eastAsia="Arial" w:hAnsi="Arial"/>
          <w:b/>
          <w:bCs/>
          <w:color w:val="007B7F"/>
          <w:sz w:val="36"/>
          <w:szCs w:val="36"/>
        </w:rPr>
        <w:t xml:space="preserve">6. Summary</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Dimension</w:t>
            </w:r>
          </w:p>
        </w:tc>
        <w:tc>
          <w:tcPr>
            <w:tcW w:type="dxa" w:w="6760"/>
            <w:tcBorders>
              <w:top w:val="single" w:color="CCCCCC" w:sz="1"/>
              <w:left w:val="single" w:color="CCCCCC" w:sz="1"/>
              <w:bottom w:val="single" w:color="CCCCCC" w:sz="1"/>
              <w:right w:val="single" w:color="CCCCCC" w:sz="1"/>
            </w:tcBorders>
            <w:shd w:fill="0D3349"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Summary</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What it is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MILP model optimizing fare-class allocation and controlled overbooking across 20 NCL sailings, 7 cabin types, 3 fare classes (420 decision variables)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Core result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$31.23M optimized net profit at ns=3%; ~$2.5M gain over no-overbooking baseline</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Key limitation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Static demand ceiling; single global no-show rate; one-shot optimization</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Highest-impact improvement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Stochastic demand + rolling re-optimization as booking horizon shrinks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Broadest applications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Airlines, hotels, car rentals, ticketed events, healthcare scheduling, freight logistics</w:t>
            </w:r>
          </w:p>
        </w:tc>
      </w:tr>
      <w:tr>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bCs/>
                <w:color w:val="1A2F3A"/>
                <w:sz w:val="20"/>
                <w:szCs w:val="20"/>
              </w:rPr>
              <w:t xml:space="preserve">Scalability</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Arial" w:cs="Arial" w:eastAsia="Arial" w:hAnsi="Arial"/>
                <w:b w:val="false"/>
                <w:bCs w:val="false"/>
                <w:color w:val="1A2F3A"/>
                <w:sz w:val="20"/>
                <w:szCs w:val="20"/>
              </w:rPr>
              <w:t xml:space="preserve">Generalizes to all 19+ NCL ships; adaptable to any fixed-inventory / perishable-capacity business</w:t>
            </w:r>
          </w:p>
        </w:tc>
      </w:tr>
    </w:tbl>
    <w:p>
      <w:pPr>
        <w:spacing w:after="120" w:before="0"/>
      </w:pPr>
      <w:r>
        <w:t xml:space="preserve"/>
      </w:r>
    </w:p>
    <w:p>
      <w:pPr>
        <w:pBdr>
          <w:top w:val="single" w:color="007B7F" w:sz="4" w:space="4"/>
        </w:pBdr>
        <w:spacing w:after="0" w:before="240"/>
      </w:pPr>
      <w:r>
        <w:rPr>
          <w:rFonts w:ascii="Arial" w:cs="Arial" w:eastAsia="Arial" w:hAnsi="Arial"/>
          <w:i/>
          <w:iCs/>
          <w:color w:val="888888"/>
          <w:sz w:val="18"/>
          <w:szCs w:val="18"/>
        </w:rPr>
        <w:t xml:space="preserve">MAS 632 · Optimizing Operations under Uncertainty · Sampada Donahalli Dinesh</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120"/>
    </w:pPr>
    <w:r>
      <w:rPr>
        <w:rFonts w:ascii="Arial" w:cs="Arial" w:eastAsia="Arial" w:hAnsi="Arial"/>
        <w:color w:val="AAAAAA"/>
        <w:sz w:val="18"/>
        <w:szCs w:val="18"/>
      </w:rPr>
      <w:t xml:space="preserve">Project Documentation</w:t>
    </w:r>
    <w:r>
      <w:rPr>
        <w:rFonts w:ascii="Arial" w:cs="Arial" w:eastAsia="Arial" w:hAnsi="Arial"/>
        <w:color w:val="AAAAAA"/>
        <w:sz w:val="18"/>
        <w:szCs w:val="18"/>
      </w:rPr>
      <w:t xml:space="preserve">	Sampada Donahalli Dinesh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7F" w:sz="6" w:space="4"/>
      </w:pBdr>
      <w:spacing w:after="160" w:before="0"/>
    </w:pPr>
    <w:r>
      <w:rPr>
        <w:rFonts w:ascii="Arial" w:cs="Arial" w:eastAsia="Arial" w:hAnsi="Arial"/>
        <w:b/>
        <w:bCs/>
        <w:color w:val="888888"/>
        <w:sz w:val="18"/>
        <w:szCs w:val="18"/>
      </w:rPr>
      <w:t xml:space="preserve">NCL Profit Maximization Model  </w:t>
    </w:r>
    <w:r>
      <w:rPr>
        <w:rFonts w:ascii="Arial" w:cs="Arial" w:eastAsia="Arial" w:hAnsi="Arial"/>
        <w:color w:val="AAAAAA"/>
        <w:sz w:val="18"/>
        <w:szCs w:val="18"/>
      </w:rPr>
      <w:t xml:space="preserve"> | MAS 632 · Sampada Donahalli Dinesh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7B7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2F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2026-05-02T16:41:10.590Z</dcterms:created>
  <dcterms:modified xsi:type="dcterms:W3CDTF">2026-05-02T16:41:10.590Z</dcterms:modified>
</cp:coreProperties>
</file>

<file path=docProps/custom.xml><?xml version="1.0" encoding="utf-8"?>
<Properties xmlns="http://schemas.openxmlformats.org/officeDocument/2006/custom-properties" xmlns:vt="http://schemas.openxmlformats.org/officeDocument/2006/docPropsVTypes"/>
</file>