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2C" w:rsidRPr="00790D2C" w:rsidRDefault="00790D2C" w:rsidP="00790D2C">
      <w:pPr>
        <w:shd w:val="clear" w:color="auto" w:fill="FFFFFF"/>
        <w:spacing w:before="100" w:beforeAutospacing="1" w:after="192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790D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Circuit Diagram</w:t>
      </w:r>
    </w:p>
    <w:p w:rsidR="00790D2C" w:rsidRPr="00790D2C" w:rsidRDefault="00790D2C" w:rsidP="00790D2C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90D2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Assemble the circuit as shown in diagram</w:t>
      </w:r>
    </w:p>
    <w:p w:rsidR="00790D2C" w:rsidRPr="00790D2C" w:rsidRDefault="00790D2C" w:rsidP="00790D2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</w:pPr>
      <w:r>
        <w:rPr>
          <w:rFonts w:ascii="Segoe UI" w:eastAsia="Times New Roman" w:hAnsi="Segoe UI" w:cs="Segoe UI"/>
          <w:noProof/>
          <w:color w:val="0000FF"/>
          <w:sz w:val="19"/>
          <w:szCs w:val="19"/>
          <w:lang w:eastAsia="en-GB"/>
        </w:rPr>
        <w:drawing>
          <wp:inline distT="0" distB="0" distL="0" distR="0">
            <wp:extent cx="6103620" cy="5402580"/>
            <wp:effectExtent l="19050" t="0" r="0" b="0"/>
            <wp:docPr id="1" name="Picture 1" descr="blinkTwoL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inkTwoL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40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2C" w:rsidRPr="00790D2C" w:rsidRDefault="00790D2C" w:rsidP="00790D2C">
      <w:pPr>
        <w:shd w:val="clear" w:color="auto" w:fill="FFFFFF"/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790D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Implementation</w:t>
      </w:r>
    </w:p>
    <w:p w:rsidR="00790D2C" w:rsidRPr="00790D2C" w:rsidRDefault="00790D2C" w:rsidP="00790D2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</w:pPr>
      <w:r>
        <w:rPr>
          <w:rFonts w:ascii="Segoe UI" w:eastAsia="Times New Roman" w:hAnsi="Segoe UI" w:cs="Segoe UI"/>
          <w:noProof/>
          <w:color w:val="0000FF"/>
          <w:sz w:val="19"/>
          <w:szCs w:val="19"/>
          <w:lang w:eastAsia="en-GB"/>
        </w:rPr>
        <w:lastRenderedPageBreak/>
        <w:drawing>
          <wp:inline distT="0" distB="0" distL="0" distR="0">
            <wp:extent cx="6195060" cy="4145280"/>
            <wp:effectExtent l="19050" t="0" r="0" b="0"/>
            <wp:docPr id="2" name="Picture 2" descr="Blinking-Two-LED’s-Using-ATmega3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inking-Two-LED’s-Using-ATmega3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2C" w:rsidRPr="00790D2C" w:rsidRDefault="00790D2C" w:rsidP="00790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</w:pPr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At the beginning of the program a pre-processor named “F_CPU” is defined. It is simply your way to tell some of the library code how many CPU cycles per second the processor is executing. Here we defined the F_CPU as 1 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MHz.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 “#include &lt;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avr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/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io.h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&gt;” is a header files which provides you with various i/o operations like 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DDRx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, 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PINx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, 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PORTx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, etc. “#include &lt;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util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/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delay.h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&gt;” is a header file which provides you with inbuilt delay functions like _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delay_</w:t>
      </w:r>
      <w:proofErr w:type="gram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ms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(</w:t>
      </w:r>
      <w:proofErr w:type="gram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), _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delay_us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(), etc. “_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delay_ms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(1000)” provides a delay of 1000 milliseconds (i.e., equivalent to 1 second).</w:t>
      </w:r>
    </w:p>
    <w:p w:rsidR="00790D2C" w:rsidRPr="00790D2C" w:rsidRDefault="00790D2C" w:rsidP="00790D2C">
      <w:pPr>
        <w:shd w:val="clear" w:color="auto" w:fill="FFFFFF"/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proofErr w:type="spellStart"/>
      <w:r w:rsidRPr="00790D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DDRx</w:t>
      </w:r>
      <w:proofErr w:type="spellEnd"/>
    </w:p>
    <w:p w:rsidR="00790D2C" w:rsidRPr="00790D2C" w:rsidRDefault="00790D2C" w:rsidP="00790D2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</w:pPr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Data Direction Register configures data direction of the </w:t>
      </w:r>
      <w:proofErr w:type="gram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port(</w:t>
      </w:r>
      <w:proofErr w:type="spellStart"/>
      <w:proofErr w:type="gram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Input/Output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). The instruction </w:t>
      </w:r>
      <w:proofErr w:type="gram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“ DDRB</w:t>
      </w:r>
      <w:proofErr w:type="gram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 |= (1&lt;&lt;DDB2)” makes corresponding port pin as output.</w:t>
      </w:r>
    </w:p>
    <w:p w:rsidR="00790D2C" w:rsidRPr="00790D2C" w:rsidRDefault="00790D2C" w:rsidP="00790D2C">
      <w:pPr>
        <w:shd w:val="clear" w:color="auto" w:fill="FFFFFF"/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proofErr w:type="spellStart"/>
      <w:r w:rsidRPr="00790D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PORTx</w:t>
      </w:r>
      <w:proofErr w:type="spellEnd"/>
    </w:p>
    <w:p w:rsidR="00790D2C" w:rsidRPr="00790D2C" w:rsidRDefault="00790D2C" w:rsidP="00790D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</w:pPr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Port register is for assigning appropriate values for the port pins. Writing to </w:t>
      </w:r>
      <w:proofErr w:type="spell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PORTx.n</w:t>
      </w:r>
      <w:proofErr w:type="spell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 xml:space="preserve"> will immediately change state of the port pins according to given value. “PORTB |</w:t>
      </w:r>
      <w:proofErr w:type="gram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=(</w:t>
      </w:r>
      <w:proofErr w:type="gram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1&lt;&lt;PORTB2)” will generate a high signal at PB2. And “PORTB&amp;=</w:t>
      </w:r>
      <w:proofErr w:type="gramStart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~(</w:t>
      </w:r>
      <w:proofErr w:type="gramEnd"/>
      <w:r w:rsidRPr="00790D2C">
        <w:rPr>
          <w:rFonts w:ascii="Segoe UI" w:eastAsia="Times New Roman" w:hAnsi="Segoe UI" w:cs="Segoe UI"/>
          <w:color w:val="24292F"/>
          <w:sz w:val="19"/>
          <w:szCs w:val="19"/>
          <w:lang w:eastAsia="en-GB"/>
        </w:rPr>
        <w:t>1&lt;&lt;PORTB3)” is for generating a low signal at PB3.</w:t>
      </w:r>
    </w:p>
    <w:p w:rsidR="00FF0097" w:rsidRDefault="00FF0097"/>
    <w:sectPr w:rsidR="00FF0097" w:rsidSect="00FF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30092"/>
    <w:multiLevelType w:val="multilevel"/>
    <w:tmpl w:val="472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D2C"/>
    <w:rsid w:val="00790D2C"/>
    <w:rsid w:val="00FF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97"/>
  </w:style>
  <w:style w:type="paragraph" w:styleId="Heading1">
    <w:name w:val="heading 1"/>
    <w:basedOn w:val="Normal"/>
    <w:link w:val="Heading1Char"/>
    <w:uiPriority w:val="9"/>
    <w:qFormat/>
    <w:rsid w:val="00790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90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0D2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101659804/164628973-6139bbb4-8507-4c9f-8f94-31d4ac4d856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user-images.githubusercontent.com/101659804/164626135-eefee71e-3b88-4629-a58c-6864249ed797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2022-04-22T16:51:00Z</dcterms:created>
  <dcterms:modified xsi:type="dcterms:W3CDTF">2022-04-22T16:52:00Z</dcterms:modified>
</cp:coreProperties>
</file>