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Formula and Quantitative Estimation Handbook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d761e0c36298b75bb2f3cad931a8655cf7283d6"/>
    <w:p>
      <w:pPr>
        <w:pStyle w:val="Heading1"/>
      </w:pPr>
      <w:r>
        <w:t xml:space="preserve">Appendix C — Formula and Quantitative Estimation Handbook</w:t>
      </w:r>
    </w:p>
    <w:p>
      <w:pPr>
        <w:pStyle w:val="BlockText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build/build.py</w:t>
      </w:r>
      <w:r>
        <w:t xml:space="preserve"> </w:t>
      </w:r>
      <w:r>
        <w:t xml:space="preserve">from every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callout in the manuscript, grouped by chapter. Worked examples remain in the chapters; follow the section reference.</w:t>
      </w:r>
    </w:p>
    <w:bookmarkStart w:id="20" w:name="chapter-1-what-is-system-design"/>
    <w:p>
      <w:pPr>
        <w:pStyle w:val="Heading2"/>
      </w:pPr>
      <w:r>
        <w:t xml:space="preserve">Chapter 1 — What Is System Design?</w:t>
      </w:r>
    </w:p>
    <w:p>
      <w:pPr>
        <w:pStyle w:val="FirstParagraph"/>
      </w:pPr>
      <w:r>
        <w:rPr>
          <w:iCs/>
          <w:i/>
        </w:rPr>
        <w:t xml:space="preserve">From §1.3.2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DAU</m:t>
              </m:r>
              <m:r>
                <m:rPr>
                  <m:sty m:val="p"/>
                </m:rPr>
                <m:t>×</m:t>
              </m:r>
              <m:r>
                <m:t>r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RPS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DAU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Requests (of the type being estimated)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in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factor: ratio of the busiest period’s rate to the daily average (dimensionless; 2–5 is a common assumption for consumer apps)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RPS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during the busiest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and 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Availability: fraction of time the service is up (dimensionless, 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MTBF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MTTR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(restore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hours)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series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the whole request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the request depends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(importance; sums to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(here 1 = poor, 5 = excellent)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bookmarkEnd w:id="20"/>
    <w:bookmarkStart w:id="21" w:name="X6dc0f881c84b20cf7573d5773e45038fc6f7b8d"/>
    <w:p>
      <w:pPr>
        <w:pStyle w:val="Heading2"/>
      </w:pPr>
      <w:r>
        <w:t xml:space="preserve">Chapter 2 — How to Think Like a System Designer</w:t>
      </w:r>
    </w:p>
    <w:p>
      <w:pPr>
        <w:pStyle w:val="FirstParagraph"/>
      </w:pPr>
      <w:r>
        <w:rPr>
          <w:iCs/>
          <w:i/>
        </w:rPr>
        <w:t xml:space="preserve">From §2.5.1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Allowed downtime for an availability target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o</m:t>
              </m:r>
              <m:r>
                <m:t>w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downtime allowed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target, as a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(e.g. 0.9995)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o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measurement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Service demand, the utilization law and the bottleneck bound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×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demand: total busy time one request places on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Visits: how many times one request uses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visits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time per visit to resource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seconds per visit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per unit of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System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units of resource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(e.g. cores)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throughput, set by the resource with the largest demand per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</w:tbl>
    <w:p>
      <w:pPr>
        <w:pStyle w:val="CalloutFormula"/>
      </w:pPr>
      <w:r>
        <w:t xml:space="preserve">The utilization law for a resource with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parallel units is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 The bottleneck is the resource with the largest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§2.6.1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(concurrency)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in the system (or holding a resource)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each request spends in the system (or holds the resource)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CalloutFormula"/>
      </w:pPr>
      <w:r>
        <w:t xml:space="preserve">Little’s Law holds for any stable system, regardless of the arrival pattern [Little 1961]. Full treatment in §4.11.</w:t>
      </w:r>
    </w:p>
    <w:p>
      <w:pPr>
        <w:pStyle w:val="BodyText"/>
      </w:pPr>
      <w:r>
        <w:rPr>
          <w:iCs/>
          <w:i/>
        </w:rPr>
        <w:t xml:space="preserve">From §2.8.1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Weighted decision score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×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weighted score of option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 (same scale as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of option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 criterion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score points, e.g. 1–5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Availability of components in series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a request path that needs</w:t>
            </w:r>
            <w:r>
              <w:t xml:space="preserve"> </w:t>
            </w:r>
            <w:r>
              <w:rPr>
                <w:iCs/>
                <w:i/>
              </w:rPr>
              <w:t xml:space="preserve">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 on the synchronous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CalloutFormula"/>
      </w:pPr>
      <w:r>
        <w:t xml:space="preserve">This assumes independent failures. Parallel (redundant) components and correlated failures are treated in §4.14.</w:t>
      </w:r>
    </w:p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request rate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h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600</m:t>
              </m:r>
            </m:den>
          </m:f>
          <m:r>
            <m:rPr>
              <m:sty m:val="p"/>
            </m:rPr>
            <m:t>×</m:t>
          </m:r>
          <m:r>
            <m:t>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request rate over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peak 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Daily active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Actions of this type per user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requests/user/day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 of daily volume in the busiest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Burst factor above the busiest-hour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86,400 / 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per day /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§2.11.1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Storage and node count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d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×</m:t>
          </m:r>
          <m:r>
            <m:t>T</m:t>
          </m:r>
          <m:r>
            <m:rPr>
              <m:sty m:val="p"/>
            </m:rPr>
            <m:t>×</m:t>
          </m:r>
          <m:r>
            <m:t>k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r>
                    <m:t>u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p</m:t>
              </m:r>
              <m:r>
                <m:t>a</m:t>
              </m:r>
              <m:r>
                <m:t>r</m:t>
              </m:r>
              <m:r>
                <m:t>e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storage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Records created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per record, including indexes and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stored copies (replication)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Nodes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one node sustains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utilization, leaving headroom for queueing (§4.10)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 nodes so a failure or deploy does not overload the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</w:tbl>
    <w:bookmarkEnd w:id="21"/>
    <w:bookmarkStart w:id="22" w:name="X7e8034c241946b4b0cffa25b17ae7f5ab4e086f"/>
    <w:p>
      <w:pPr>
        <w:pStyle w:val="Heading2"/>
      </w:pPr>
      <w:r>
        <w:t xml:space="preserve">Chapter 3 — The System Design Learning Method</w:t>
      </w:r>
    </w:p>
    <w:p>
      <w:pPr>
        <w:pStyle w:val="FirstParagraph"/>
      </w:pPr>
      <w:r>
        <w:rPr>
          <w:iCs/>
          <w:i/>
        </w:rPr>
        <w:t xml:space="preserve">From §3.3.2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keys remapped when growing from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rPr>
          <w:bCs/>
          <w:b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nodes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mod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t>  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ring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 before the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</w:t>
            </w:r>
            <w:r>
              <w:t xml:space="preserve"> </w:t>
            </w:r>
            <w:r>
              <w:rPr>
                <w:rStyle w:val="VerbatimChar"/>
              </w:rPr>
              <w:t xml:space="preserve">hash mod N</w:t>
            </w:r>
            <w:r>
              <w:t xml:space="preserve"> </w:t>
            </w:r>
            <w:r>
              <w:t xml:space="preserve">(uniform hashing)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ring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fraction of keys whose owner changes under consistent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§3.9.1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Gap priority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Priority score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points (0–12)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proficiency for part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self-rated proficiency (use 0 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would make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negative)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 scale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Relevance weight: 1 = nice to have, 2 = useful, 3 = essential for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(1–3)</w:t>
            </w:r>
          </w:p>
        </w:tc>
      </w:tr>
    </w:tbl>
    <w:bookmarkEnd w:id="22"/>
    <w:bookmarkStart w:id="23" w:name="Xeaab1cdf64d78af0007afae2472919acb2bc922"/>
    <w:p>
      <w:pPr>
        <w:pStyle w:val="Heading2"/>
      </w:pPr>
      <w:r>
        <w:t xml:space="preserve">Chapter 4 — Quantitative Foundations for System Design</w:t>
      </w:r>
    </w:p>
    <w:p>
      <w:pPr>
        <w:pStyle w:val="FirstParagraph"/>
      </w:pPr>
      <w:r>
        <w:rPr>
          <w:iCs/>
          <w:i/>
        </w:rPr>
        <w:t xml:space="preserve">From §4.3.1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Laws of exponents</w:t>
      </w:r>
    </w:p>
    <w:p>
      <w:pPr>
        <w:pStyle w:val="CalloutFormula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b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</m:sup>
          </m:sSup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m</m:t>
              </m:r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(2 for binary quantities, 10 for decimal)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Logarithm rules and change of base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y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k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k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r>
                <m:rPr>
                  <m:sty m:val="p"/>
                </m:rPr>
                <m:t>ln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x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b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of the logarithm 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Positive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Any real 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Natural logarithm, base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2.71828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Height of a B-tree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f</m:t>
                  </m:r>
                </m:sub>
              </m:sSub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r>
                    <m:t>f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levels from root to leaf (page reads per lookup if nothing is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keys indexed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Fan-out: child pointers per internal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children/node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⌈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Ceiling: round up to the next 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Converting link speed to byte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B/s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num>
            <m:den>
              <m:r>
                <m:t>8</m:t>
              </m:r>
            </m:den>
          </m:f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r>
                <m:t>S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bps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B/s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same rate expressed in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data to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transfer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Ideal transfer time, ignoring protocol overhead and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and peak rate from a daily volume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num>
            <m:den>
              <m:r>
                <m:t>86</m:t>
              </m:r>
              <m:r>
                <m:rPr>
                  <m:sty m:val="p"/>
                </m:rPr>
                <m:t>,</m:t>
              </m:r>
              <m:r>
                <m:t>400</m:t>
              </m:r>
            </m:den>
          </m:f>
          <m:r>
            <m:t>  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peak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λ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day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Events (requests, writes, messages)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events/day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λ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Peak-to-average ratio, measured or assumed (often 2–10 for consumer traffic)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the system must be sized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at least one of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independent components fails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fails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 single component fails during the period of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t xml:space="preserve"> </w:t>
            </w:r>
            <w:r>
              <w:t xml:space="preserve">fails (complement, multiplied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times by independence)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Union (inclusion–exclusion) and intersection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−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×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(or both)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both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Conditional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happened; equals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when independent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value and linearity of expectation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random quantity (failures, latency, cost)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possible value of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that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Binomial probability of exactly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failures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sSup>
            <m:e>
              <m:r>
                <m:t>p</m:t>
              </m:r>
            </m:e>
            <m:sup>
              <m:r>
                <m:t>k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components (trials)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failures we ask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Per-component failure probability in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ways to choose which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components fail (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number of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Mean, variance and standard deviation</w:t>
      </w:r>
    </w:p>
    <w:p>
      <w:pPr>
        <w:pStyle w:val="CalloutFormula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  </m:t>
          </m:r>
          <m:r>
            <m:t>σ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(ms)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Variance: average squared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deviation: typical distance from the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Tail formulas for three skewed distributions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Exponential: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t>  </m:t>
          </m:r>
          <m:r>
            <m:rPr>
              <m:nor/>
              <m:sty m:val="p"/>
            </m:rPr>
            <m:t>Log-normal: median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mean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Pareto: 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α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Event rate of the exponential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Elapsed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and standard deviation of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t xml:space="preserve"> </w:t>
            </w:r>
            <w:r>
              <w:t xml:space="preserve">for a log-normal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ln of the unit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minimum (scale)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(e.g. bytes)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Pareto tail index: smaller means heavier 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Nearest-rank percentile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p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percentile,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1-based rank in the sorted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-th smallest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Probability that a fan-out request is fast</w:t>
      </w:r>
    </w:p>
    <w:p>
      <w:pPr>
        <w:pStyle w:val="CalloutFormula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all </m:t>
              </m:r>
              <m:r>
                <m:t>N</m:t>
              </m:r>
              <m:r>
                <m:rPr>
                  <m:nor/>
                  <m:sty m:val="p"/>
                </m:rPr>
                <m:t> fast</m:t>
              </m:r>
            </m:e>
          </m:d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at least one slow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t>  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required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target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sup>
          </m:sSub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one leaf responds within the threshold (e.g. 0.99 at the leaf’s p99)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parallel sub-requests the root must wait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probability that the whole request is 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required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Per-leaf probability needed to meet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target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Dot product and cosine similarity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⋅</m:t>
          </m:r>
          <m:r>
            <m:rPr>
              <m:sty m:val="b"/>
            </m:rP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∥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Two vectors of the same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(embedding units; dimensionless)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-th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b"/>
                </m:rP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Angle between the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radians or degrees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Cosine similarity: 1 = same direction, 0 = unrelated (perpendicular), −1 =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Cost of matrix multiplication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FLOPs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t>m</m:t>
          </m:r>
          <m:r>
            <m:t> </m:t>
          </m:r>
          <m:r>
            <m:t>n</m:t>
          </m:r>
          <m:r>
            <m:t> </m:t>
          </m:r>
          <m:r>
            <m:t>k</m:t>
          </m:r>
          <m:r>
            <m:t>  </m:t>
          </m:r>
          <m:r>
            <m:rPr>
              <m:nor/>
              <m:sty m:val="p"/>
            </m:rPr>
            <m:t>arithmetic intensity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FLOPs</m:t>
              </m:r>
            </m:num>
            <m:den>
              <m:r>
                <m:rPr>
                  <m:nor/>
                  <m:sty m:val="p"/>
                </m:rPr>
                <m:t>bytes moved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and columns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(inner dimension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match)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Floating-point operations: one multiply and one add per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bytes 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 from and written to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FLOPs per byte; low values mean memory-bandwidth-bound, high values compute-bound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FLOP/byte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M/M/1 results</w:t>
      </w:r>
    </w:p>
    <w:p>
      <w:pPr>
        <w:pStyle w:val="CalloutFormula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t>  </m:t>
          </m:r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  <m:r>
            <m:t>  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rate of the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service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Utilization: fraction of time the server is busy (must be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in system (waiting + service), i.e. 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waiting in the queue before service 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in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jobs waiting in the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§4.10.4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M/M/c (Erlang C)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μ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wait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e>
                  </m:d>
                </m:den>
              </m:f>
            </m:den>
          </m:f>
          <m:r>
            <m:rPr>
              <m:sty m:val="p"/>
            </m:rPr>
            <m:t>,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num>
            <m:den>
              <m:r>
                <m:t>c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λ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servers sharing one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Service rate of</w:t>
            </w:r>
            <w:r>
              <w:t xml:space="preserve"> </w:t>
            </w:r>
            <w:r>
              <w:rPr>
                <w:iCs/>
                <w:i/>
              </w:rPr>
              <w:t xml:space="preserve">each</w:t>
            </w:r>
            <w:r>
              <w:t xml:space="preserve"> </w:t>
            </w: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Offered load: average number of busy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 (Erlangs)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Per-server utilization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an arriving job finds all servers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§4.11.1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</w:t>
      </w:r>
    </w:p>
    <w:p>
      <w:pPr>
        <w:pStyle w:val="CalloutFormula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items in the system (concurrency, occupancy,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arrival rate (equals throughput in a stable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spends inside the system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Amdahl’s Law (fixed problem size)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N</m:t>
                  </m:r>
                </m:den>
              </m:f>
            </m:den>
          </m:f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single-processor run time that can be parallelized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Serial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processors, cores or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Speedup relative to one 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§4.12.2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Gustafson’s Law (scaled problem size)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scaled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t> </m:t>
          </m:r>
          <m:r>
            <m:t>N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</w:t>
            </w:r>
            <w:r>
              <w:t xml:space="preserve"> </w:t>
            </w:r>
            <w:r>
              <w:rPr>
                <w:iCs/>
                <w:i/>
              </w:rPr>
              <w:t xml:space="preserve">parallel run’s</w:t>
            </w:r>
            <w:r>
              <w:t xml:space="preserve"> </w:t>
            </w:r>
            <w:r>
              <w:t xml:space="preserve">time spent in parallel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the parallel run’s time that is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processors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scaled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much more work is completed in the same time than one processor could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Universal Scalability Law</w:t>
      </w:r>
    </w:p>
    <w:p>
      <w:pPr>
        <w:pStyle w:val="CalloutFormula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β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β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nodes, cores, threads or concurrent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Relative capacity: throughput at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divided by throughput at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(×)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Contention coefficient: serialization on shared resources (queues, locks)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Coherency coefficient: pairwise coordination cost (cache coherence, consensus, data exchange)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0)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Concurrency at which throughput peaks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Downtime budget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×</m:t>
          </m:r>
          <m:r>
            <m:t>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(or any time unit)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Allowed downtime in the period (the error budget, in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unit as</w:t>
            </w:r>
            <w:r>
              <w:t xml:space="preserve"> </w:t>
            </w:r>
            <m:oMath>
              <m:r>
                <m:t>T</m:t>
              </m:r>
            </m:oMath>
          </w:p>
        </w:tc>
      </w:tr>
    </w:tbl>
    <w:p>
      <w:pPr>
        <w:pStyle w:val="BodyText"/>
      </w:pPr>
      <w:r>
        <w:rPr>
          <w:iCs/>
          <w:i/>
        </w:rPr>
        <w:t xml:space="preserve">From §4.14.2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Series, parallel and k-of-n availability (independent failures)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series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parallel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t>  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nor/>
                  <m:sty m:val="p"/>
                </m:rPr>
                <m:t>-of-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d>
            </m:e>
          </m:nary>
          <m:sSup>
            <m:e>
              <m:r>
                <m:t>A</m:t>
              </m:r>
            </m:e>
            <m:sup>
              <m:r>
                <m:t>j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j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component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∏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Product over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Minimum number of identical components that must be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of each identical component (k-of-n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Reliability and availability from MTBF and MTTR</w:t>
      </w:r>
    </w:p>
    <w:p>
      <w:pPr>
        <w:pStyle w:val="CalloutFormula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MTBF</m:t>
              </m:r>
            </m:den>
          </m:f>
          <m:r>
            <m:t>  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MTBF</m:t>
              </m:r>
            </m:num>
            <m:den>
              <m:r>
                <m:rPr>
                  <m:nor/>
                  <m:sty m:val="p"/>
                </m:rPr>
                <m:t>MTBF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MTTR</m:t>
              </m:r>
            </m:den>
          </m:f>
          <m:r>
            <m:t>  </m:t>
          </m:r>
          <m:r>
            <m:rPr>
              <m:nor/>
              <m:sty m:val="p"/>
            </m:rPr>
            <m:t>AFR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8760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MTTF</m:t>
              </m:r>
            </m:sup>
          </m:sSup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MTBF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operating time between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 (detect + diagnose + fix + restore)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failure of a non-repairable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 failure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Mission time: the period we need it to survive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of no failure during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Steady-state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failure rate: probability a part fails within a year (8,760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(often %)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Approximate annual probability of losing an</w:t>
      </w:r>
      <w:r>
        <w:rPr>
          <w:bCs/>
          <w:b/>
        </w:rPr>
        <w:t xml:space="preserve"> </w:t>
      </w:r>
      <m:oMath>
        <m:r>
          <m:t>n</m:t>
        </m:r>
      </m:oMath>
      <w:r>
        <w:rPr>
          <w:bCs/>
          <w:b/>
        </w:rPr>
        <w:t xml:space="preserve">-way replicated item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loss/yr</m:t>
              </m:r>
            </m:sub>
          </m:sSub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!</m:t>
          </m:r>
          <m:r>
            <m:t> </m:t>
          </m:r>
          <m:sSup>
            <m:e>
              <m:r>
                <m:t>λ</m:t>
              </m:r>
            </m:e>
            <m:sup>
              <m:r>
                <m:t>n</m:t>
              </m:r>
            </m:sup>
          </m:sSup>
          <m:r>
            <m:t> </m:t>
          </m:r>
          <m:sSup>
            <m:e>
              <m:r>
                <m:t>T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H</m:t>
          </m:r>
          <m:r>
            <m:t>  </m:t>
          </m:r>
          <m:r>
            <m:rPr>
              <m:nor/>
              <m:sty m:val="p"/>
            </m:rPr>
            <m:t>valid when </m:t>
          </m:r>
          <m:r>
            <m:t>λ</m:t>
          </m:r>
          <m:r>
            <m:t>T</m:t>
          </m:r>
          <m:r>
            <m:rPr>
              <m:sty m:val="p"/>
            </m:rPr>
            <m:t>≪</m:t>
          </m:r>
          <m:r>
            <m:t>1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Per-replica failure rate (AFR / 8,760 for small 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failures/hour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and re-replicate a lost 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Hours per year (8,760)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loss/yr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Annual probability that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replicas are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Standard error of a sample mean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the quantity being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independent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error of the estimated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of the quantity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Compute-bound token throughput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tokens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MFU</m:t>
              </m:r>
              <m:r>
                <m:rPr>
                  <m:sty m:val="p"/>
                </m:rPr>
                <m:t>×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num>
            <m:den>
              <m:r>
                <m:t>2</m:t>
              </m:r>
              <m:r>
                <m:t>P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accelerator throughput at the precision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FLOPs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Model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Forward-pass FLOPs per token (approximation)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FLOP/token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tokens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Tokens processed per second per 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§4.18.6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Batching model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 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  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  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  <m:r>
                <m:t>λ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Marginal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process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Arrival rate of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an item waits for its batch to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3"/>
    <w:bookmarkStart w:id="24" w:name="chapter-5-computer-architecture"/>
    <w:p>
      <w:pPr>
        <w:pStyle w:val="Heading2"/>
      </w:pPr>
      <w:r>
        <w:t xml:space="preserve">Chapter 5 — Computer Architecture</w:t>
      </w:r>
    </w:p>
    <w:p>
      <w:pPr>
        <w:pStyle w:val="FirstParagraph"/>
      </w:pPr>
      <w:r>
        <w:rPr>
          <w:iCs/>
          <w:i/>
        </w:rPr>
        <w:t xml:space="preserve">From §5.3.2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CPU execution time (the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iron law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r>
            <m:t>C</m:t>
          </m:r>
          <m:r>
            <m:t>P</m:t>
          </m:r>
          <m:r>
            <m:t>I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×</m:t>
              </m:r>
              <m:r>
                <m:t>C</m:t>
              </m:r>
              <m:r>
                <m:t>P</m:t>
              </m:r>
              <m:r>
                <m:t>I</m:t>
              </m:r>
            </m:num>
            <m:den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  <m:r>
                    <m:t>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CPU time to run the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instructions 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P</m:t>
              </m:r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clock cycles per instruction (its inverse is IPC, instructions per cycle)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cycles/instruction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Duration of one clock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seconds/cycle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frequency,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y</m:t>
                  </m:r>
                  <m:r>
                    <m:t>c</m:t>
                  </m:r>
                  <m:r>
                    <m:t>l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cycles/second (Hz)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 decomposition in a set-associative cache</w:t>
      </w:r>
    </w:p>
    <w:p>
      <w:pPr>
        <w:pStyle w:val="CalloutFormula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r>
                <m:t>W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offset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index bits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S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set index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tag</m:t>
          </m:r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 (block)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Associativity (ways per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High-order address bits stored with the line to identify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§5.4.5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memory access time (AMAT), applied recursively to each level</w:t>
      </w:r>
    </w:p>
    <w:p>
      <w:pPr>
        <w:pStyle w:val="CalloutFormula"/>
      </w:pPr>
      <m:oMathPara>
        <m:oMathParaPr>
          <m:jc m:val="center"/>
        </m:oMathParaPr>
        <m:oMath>
          <m:r>
            <m:t>A</m:t>
          </m:r>
          <m:r>
            <m:t>M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L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e</m:t>
                      </m:r>
                      <m:r>
                        <m:t>m</m:t>
                      </m:r>
                    </m:sub>
                  </m:sSub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Hit time at each cache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DRAM access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all accesses that miss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  <w:r>
              <w:t xml:space="preserve"> </w:t>
            </w:r>
            <w:r>
              <w:t xml:space="preserve">miss rate: fraction of accesses</w:t>
            </w:r>
            <w:r>
              <w:t xml:space="preserve"> </w:t>
            </w:r>
            <w:r>
              <w:rPr>
                <w:iCs/>
                <w:i/>
              </w:rPr>
              <w:t xml:space="preserve">reaching</w:t>
            </w:r>
            <w:r>
              <w:t xml:space="preserve"> </w:t>
            </w:r>
            <w:r>
              <w:t xml:space="preserve">that level that miss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HDD access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e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60</m:t>
              </m:r>
            </m:num>
            <m:den>
              <m:r>
                <m:t>R</m:t>
              </m:r>
              <m:r>
                <m:t>P</m:t>
              </m:r>
              <m:r>
                <m:t>M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R</m:t>
              </m:r>
            </m:den>
          </m:f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d</m:t>
              </m:r>
              <m:r>
                <m:t>o</m:t>
              </m:r>
              <m:r>
                <m:t>m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c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e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to move the head to the target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rotational latency: half a revolution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P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Spindle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revolutions per minute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Sustained media transfer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O</m:t>
              </m:r>
              <m:r>
                <m:t>P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Random I/O operations per second for one outstanding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operations/second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Write amplification factor and drive lifetime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t>A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bytes written to flash</m:t>
              </m:r>
            </m:num>
            <m:den>
              <m:r>
                <m:rPr>
                  <m:nor/>
                  <m:sty m:val="p"/>
                </m:rPr>
                <m:t>bytes written by the host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Lifetime (days)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t>E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W</m:t>
              </m:r>
              <m:r>
                <m:t>A</m:t>
              </m:r>
              <m:r>
                <m:t>F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t>A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Write amplification factor (≥ 1 for a drive without 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Raw flash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program/erase cycles per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Host write volume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bytes/day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Little’s Law applied to a storage device</w:t>
      </w:r>
    </w:p>
    <w:p>
      <w:pPr>
        <w:pStyle w:val="CalloutFormula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r>
                <m:t>D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Throughput</m:t>
          </m:r>
          <m:r>
            <m:rPr>
              <m:sty m:val="p"/>
            </m:rPr>
            <m:t>=</m:t>
          </m:r>
          <m:r>
            <m:t>I</m:t>
          </m:r>
          <m:r>
            <m:t>O</m:t>
          </m:r>
          <m:r>
            <m:t>P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 requests outstanding (queue depth)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latency per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§5.8.2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 pool sizing heuristic</w:t>
      </w:r>
      <w:r>
        <w:t xml:space="preserve"> </w:t>
      </w:r>
      <w:r>
        <w:t xml:space="preserve">[Goetz et al. 2006, §8.2]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t</m:t>
              </m:r>
              <m:r>
                <m:t>h</m:t>
              </m:r>
              <m:r>
                <m:t>r</m:t>
              </m:r>
              <m:r>
                <m:t>e</m:t>
              </m:r>
              <m:r>
                <m:t>a</m:t>
              </m:r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U</m:t>
              </m:r>
            </m:e>
            <m:sub>
              <m:r>
                <m:t>t</m:t>
              </m:r>
              <m:r>
                <m:t>a</m:t>
              </m:r>
              <m:r>
                <m:t>r</m:t>
              </m:r>
              <m:r>
                <m:t>g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W</m:t>
                  </m:r>
                </m:num>
                <m:den>
                  <m:r>
                    <m:t>C</m:t>
                  </m:r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in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Cores available to the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task spends waiting (I/O, remote calls)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CPU time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§5.9.1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Peak DRAM bandwidth</w:t>
      </w:r>
    </w:p>
    <w:p>
      <w:pPr>
        <w:pStyle w:val="CalloutFormula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W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  <m:r>
                <m:t>h</m:t>
              </m:r>
              <m:r>
                <m:t>a</m:t>
              </m:r>
              <m:r>
                <m:t>n</m:t>
              </m:r>
              <m:r>
                <m:t>n</m:t>
              </m:r>
              <m:r>
                <m:t>e</m:t>
              </m:r>
              <m:r>
                <m:t>l</m:t>
              </m:r>
              <m:r>
                <m:t>s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Data transfers per second per channel (the</w:t>
            </w:r>
            <w:r>
              <w:t xml:space="preserve"> </w:t>
            </w:r>
            <w:r>
              <w:t xml:space="preserve">“</w:t>
            </w:r>
            <w:r>
              <w:t xml:space="preserve">4800</w:t>
            </w:r>
            <w:r>
              <w:t xml:space="preserve">”</w:t>
            </w:r>
            <w:r>
              <w:t xml:space="preserve"> </w:t>
            </w:r>
            <w:r>
              <w:t xml:space="preserve">in DDR5-4800)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transfers/second (MT/s)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a channel’s data path: 8 bytes (64 bits)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bytes/transfer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n</m:t>
                  </m:r>
                  <m:r>
                    <m:t>n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Populated memory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§5.12.1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Throughput with batching (fixed plus per-item cost)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  <m:r>
                <m:t>c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 per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Fixed cost per operation (system call, device round trip, interrupt, network RTT)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Variable cost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seconds/item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Throughput at batch size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c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complete one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4"/>
    <w:bookmarkStart w:id="25" w:name="chapter-6-operating-systems"/>
    <w:p>
      <w:pPr>
        <w:pStyle w:val="Heading2"/>
      </w:pPr>
      <w:r>
        <w:t xml:space="preserve">Chapter 6 — Operating Systems</w:t>
      </w:r>
    </w:p>
    <w:p>
      <w:pPr>
        <w:pStyle w:val="FirstParagraph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Context-switch overhead fraction</w:t>
      </w:r>
    </w:p>
    <w:p>
      <w:pPr>
        <w:pStyle w:val="CalloutFormula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CPU time lost to switching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cost of one switch, direct + indirect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time a thread runs between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§6.4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Cache refill estimate (indirect cost)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refill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num>
            <m:den>
              <m:r>
                <m:t>M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refill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spent reloading the working set after a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set that was evicted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Cache line size (64 on x86-64 and most ARM 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bytes/line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miss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 miss to the next memory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Memory-level parallelism: misses overlapped in 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(≥ 1)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Average turnaround and response time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turn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completion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rPr>
                  <m:nor/>
                  <m:sty m:val="p"/>
                </m:rPr>
                <m:t>resp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first run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arrival</m:t>
                      </m:r>
                    </m:sub>
                    <m:sup>
                      <m:r>
                        <m:t> </m:t>
                      </m:r>
                      <m:r>
                        <m:t>i</m:t>
                      </m:r>
                    </m:sup>
                  </m:sSubSup>
                </m:e>
              </m:d>
            </m:e>
          </m:nary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arrival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became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 run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first got a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completion</m:t>
                  </m:r>
                </m:sub>
                <m:sup>
                  <m:r>
                    <m:t> </m:t>
                  </m:r>
                  <m:r>
                    <m:t>i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job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§6.5.5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Proportional CPU share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one core’s time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when all threads in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compete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Weight of thread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from its nice value (nice 0 = 1024; each nice step changes weight by about 1.25×)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of runnable threads competing on that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TLB reach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TLB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×</m:t>
          </m:r>
          <m:r>
            <m:t>P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TLB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Amount of memory addressable without a TLB 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TLB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per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Effective memory access time with page faults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EAT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mem</m:t>
              </m:r>
            </m:sub>
          </m:sSub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fault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time per memory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 access causes a major page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for an access with no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service a major fault, including the disk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§6.14.3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Group-commit throughput</w:t>
      </w:r>
    </w:p>
    <w:p>
      <w:pPr>
        <w:pStyle w:val="CalloutFormula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durable commits per second on one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Commits made durable by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 </w:t>
            </w:r>
            <w:r>
              <w:t xml:space="preserve">(batch size)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fsync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Latency of one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Memory for concurrent connections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needed for concurrency overhead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 connections (or in-flight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unit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Resident memory per concurrency unit (thread stack + kernel task, or coroutine)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conn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Per-connection buffers (socket buffers, TLS state, request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§6.15.6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Thread-pool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  <m:r>
            <m:t>  </m:t>
          </m:r>
          <m:r>
            <m:rPr>
              <m:nor/>
              <m:sty m:val="p"/>
            </m:rPr>
            <m:t>and, for mixed CPU/I/O work,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threads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cpu</m:t>
              </m:r>
            </m:sub>
          </m:sSub>
          <m:r>
            <m:rPr>
              <m:sty m:val="p"/>
            </m:rPr>
            <m:t>×</m:t>
          </m:r>
          <m:r>
            <m:t>U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wait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cpu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threads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Threads needed to sustain the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arrival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occupies a thread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 CPU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wait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Per-request time spent waiting and computing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bookmarkEnd w:id="25"/>
    <w:bookmarkStart w:id="26" w:name="chapter-7-networking-fundamentals"/>
    <w:p>
      <w:pPr>
        <w:pStyle w:val="Heading2"/>
      </w:pPr>
      <w:r>
        <w:t xml:space="preserve">Chapter 7 — Networking Fundamentals</w:t>
      </w:r>
    </w:p>
    <w:p>
      <w:pPr>
        <w:pStyle w:val="FirstParagraph"/>
      </w:pPr>
      <w:r>
        <w:rPr>
          <w:iCs/>
          <w:i/>
        </w:rPr>
        <w:t xml:space="preserve">From §7.3.3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Protocol efficiency (goodput fraction)</w:t>
      </w:r>
    </w:p>
    <w:p>
      <w:pPr>
        <w:pStyle w:val="CalloutFormula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+</m:t>
              </m:r>
              <m:r>
                <m:t>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transmitted bytes that are application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Application payload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per-frame overhead from all layers (headers, trailers, and on Ethernet the preamble and inter-frame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Addresses in a CIDR block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addr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hosts,IPv4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 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2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addr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addresses in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Address width: 32 for IPv4, 128 for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Prefix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hosts,IPv4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Assignable IPv4 hosts on a traditional subnet: subtract the</w:t>
            </w:r>
            <w:r>
              <w:t xml:space="preserve"> </w:t>
            </w:r>
            <w:r>
              <w:rPr>
                <w:bCs/>
                <w:b/>
              </w:rPr>
              <w:t xml:space="preserve">network address</w:t>
            </w:r>
            <w:r>
              <w:t xml:space="preserve"> </w:t>
            </w:r>
            <w:r>
              <w:t xml:space="preserve">(all host bits 0) and the</w:t>
            </w:r>
            <w:r>
              <w:t xml:space="preserve"> </w:t>
            </w:r>
            <w:r>
              <w:rPr>
                <w:bCs/>
                <w:b/>
              </w:rPr>
              <w:t xml:space="preserve">broadcast address</w:t>
            </w:r>
            <w:r>
              <w:t xml:space="preserve"> </w:t>
            </w:r>
            <w:r>
              <w:t xml:space="preserve">(all host bits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Retransmission timeout (RFC 6298)</w:t>
      </w:r>
    </w:p>
    <w:p>
      <w:pPr>
        <w:pStyle w:val="CalloutFormula"/>
      </w:pPr>
      <w:r>
        <w:t xml:space="preserve">On each new RTT sample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(after the first):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RTTVAR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r>
            <m:rPr>
              <m:nor/>
              <m:sty m:val="p"/>
            </m:rPr>
            <m:t>RTTVAR</m:t>
          </m:r>
          <m:r>
            <m:rPr>
              <m:sty m:val="p"/>
            </m:rPr>
            <m:t>+</m:t>
          </m:r>
          <m:r>
            <m:t>β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rPr>
                  <m:nor/>
                  <m:sty m:val="p"/>
                </m:rPr>
                <m:t>SRTT</m:t>
              </m:r>
              <m:r>
                <m:rPr>
                  <m:sty m:val="p"/>
                </m:rPr>
                <m:t>−</m:t>
              </m:r>
              <m:r>
                <m:t>R</m:t>
              </m:r>
            </m:e>
          </m:d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SRTT</m:t>
          </m:r>
          <m:r>
            <m:rPr>
              <m:sty m:val="p"/>
            </m:rPr>
            <m:t>←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r>
            <m:t> 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t>α</m:t>
          </m:r>
          <m:r>
            <m:t> </m:t>
          </m:r>
          <m:r>
            <m:t>R</m:t>
          </m:r>
        </m:oMath>
      </m:oMathPara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RTO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SRTT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RTTVAR</m:t>
              </m:r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Latest measured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(exponentially averaged)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Smoothed RTT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Smoothing gains,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Clock granularity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Retransmission timeout; RFC 6298 says round up to at least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§7.7.7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CUBIC window growth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e>
                  </m:d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Congestion window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seconds after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Window just before the last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Multiplicative decrease factor; window becomes</w:t>
            </w:r>
            <w:r>
              <w:t xml:space="preserve"> </w:t>
            </w:r>
            <m:oMath>
              <m:r>
                <m:t>β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after loss (0.7)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 constant (0.4)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segments/s³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climb back to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One-hop delay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hop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v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propagation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</m:num>
                    <m:den>
                      <m:r>
                        <m:t>R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transmission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queue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proc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Physical length of the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(or km)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Signal speed in the medium: about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m/s in optical fiber (roughly two-thirds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Link rate (bandwidth)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queue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Queuing delay: bytes waiting ahead ÷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proc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Processing delay: microseconds in software, sub-microsecond in switch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Window-limited throughput and the bandwidth-delay product (BDP)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t>  </m:t>
          </m:r>
          <m:r>
            <m:t>  </m:t>
          </m:r>
          <m:r>
            <m:rPr>
              <m:nor/>
              <m:sty m:val="p"/>
            </m:rPr>
            <m:t>BDP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RTT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Effective window,</w:t>
            </w:r>
            <w:r>
              <w:t xml:space="preserve"> </w:t>
            </w:r>
            <m:oMath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cwnd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rwnd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link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 (divide by 8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that must be in flight to keep the link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or bytes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§7.15.3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Mathis throughput formula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Throughput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MSS</m:t>
              </m:r>
            </m:num>
            <m:den>
              <m:r>
                <m:rPr>
                  <m:nor/>
                  <m:sty m:val="p"/>
                </m:rPr>
                <m:t>RTT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C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segment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(or bytes, for bytes/s)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loss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Constant,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1.22</m:t>
              </m:r>
            </m:oMath>
            <w:r>
              <w:t xml:space="preserve"> </w:t>
            </w:r>
            <w:r>
              <w:t xml:space="preserve">for periodic loss with every packet 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Connections needed for a one-request-per-connection protocol</w:t>
      </w:r>
    </w:p>
    <w:p>
      <w:pPr>
        <w:pStyle w:val="CalloutFormula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×</m:t>
          </m:r>
          <m:r>
            <m:t>W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connections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a request holds a connection (network RTT plus server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§7.17.1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Oversubscription ratio at a leaf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Oversubscription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total server-facing bandwidth</m:t>
              </m:r>
            </m:num>
            <m:den>
              <m:r>
                <m:rPr>
                  <m:nor/>
                  <m:sty m:val="p"/>
                </m:rPr>
                <m:t>total uplink bandwidth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Server-facing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downlink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Uplink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 the leaf’s spine-facing port speeds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Gbps</w:t>
            </w:r>
          </w:p>
        </w:tc>
      </w:tr>
    </w:tbl>
    <w:bookmarkEnd w:id="26"/>
    <w:bookmarkStart w:id="27" w:name="chapter-8-web-application-fundamentals"/>
    <w:p>
      <w:pPr>
        <w:pStyle w:val="Heading2"/>
      </w:pPr>
      <w:r>
        <w:t xml:space="preserve">Chapter 8 — Web Application Fundamentals</w:t>
      </w:r>
    </w:p>
    <w:p>
      <w:pPr>
        <w:pStyle w:val="FirstParagraph"/>
      </w:pPr>
      <w:r>
        <w:rPr>
          <w:iCs/>
          <w:i/>
        </w:rPr>
        <w:t xml:space="preserve">From §8.5.1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End-to-end latency of a request on a new connection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DNS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TCP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TLS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server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transfer</m:t>
              </m:r>
            </m:sub>
          </m:sSub>
        </m:oMath>
      </m:oMathPara>
    </w:p>
    <w:p>
      <w:pPr>
        <w:pStyle w:val="CalloutFormula"/>
      </w:pP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TCP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TLS 1.3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req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×</m:t>
        </m:r>
        <m:r>
          <m:t>R</m:t>
        </m:r>
        <m:r>
          <m:t>T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transfer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S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a response that fits in the congestion window.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DNS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DNS lookup time (≈ 0 if 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T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Client-to-load-balancer round-trip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server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the load balancer receiving the request to sending the response (app + 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Response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Bottleneck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bytes/ms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§8.6.5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Rows touched per page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offset</m:t>
              </m:r>
            </m:sub>
          </m:sSub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ℓ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keyset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b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Offset (rows skipped)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Page size (limit)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Rows in the table or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B-tree fan-out (entries per index page, typically hundreds)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§8.9.2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Varint length</w:t>
      </w:r>
    </w:p>
    <w:p>
      <w:pPr>
        <w:pStyle w:val="CalloutFormula"/>
      </w:pPr>
      <m:oMathPara>
        <m:oMathParaPr>
          <m:jc m:val="center"/>
        </m:oMathParaPr>
        <m:oMath>
          <m:r>
            <m:rPr>
              <m:nor/>
              <m:sty m:val="p"/>
            </m:rPr>
            <m:t>bytes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d>
                <m:dPr>
                  <m:begChr m:val="⌈"/>
                  <m:endChr m:val="⌉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⌊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n</m:t>
                      </m:r>
                      <m:r>
                        <m:rPr>
                          <m:sty m:val="p"/>
                        </m:rPr>
                        <m:t>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d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integer being encoded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significant bits in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Payload bits per varint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bits/byte</w:t>
            </w:r>
          </w:p>
        </w:tc>
      </w:tr>
    </w:tbl>
    <w:bookmarkEnd w:id="27"/>
    <w:bookmarkStart w:id="28" w:name="chapter-9-real-time-communication"/>
    <w:p>
      <w:pPr>
        <w:pStyle w:val="Heading2"/>
      </w:pPr>
      <w:r>
        <w:t xml:space="preserve">Chapter 9 — Real-Time Communication</w:t>
      </w:r>
    </w:p>
    <w:p>
      <w:pPr>
        <w:pStyle w:val="FirstParagraph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Short-polling request rate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arriving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concurrently active (polling)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§9.3.1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Fraction of wasted (empty) polls and added latency</w:t>
      </w:r>
    </w:p>
    <w:p>
      <w:pPr>
        <w:pStyle w:val="CalloutFormula"/>
      </w:pPr>
      <w:r>
        <w:t xml:space="preserve">If updates for a client arrive as a Poisson process with rate</w:t>
      </w:r>
      <w:r>
        <w:t xml:space="preserve"> </w:t>
      </w:r>
      <m:oMath>
        <m:r>
          <m:t>λ</m:t>
        </m:r>
      </m:oMath>
      <w:r>
        <w:t xml:space="preserve">, the probability that a given interval contains no update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empty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t>T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when 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≪</m:t>
              </m:r>
              <m:r>
                <m:t>1</m:t>
              </m:r>
            </m:e>
          </m:d>
        </m:oMath>
      </m:oMathPara>
    </w:p>
    <w:p>
      <w:pPr>
        <w:pStyle w:val="CalloutFormula"/>
      </w:pPr>
      <w:r>
        <w:t xml:space="preserve">and the average delay between an event occurring and the client seeing it is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avg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rtt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empty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polls that return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(0–1)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Polling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notification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rtt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Network round-trip time for one 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Long-polling request rate</w:t>
      </w:r>
    </w:p>
    <w:p>
      <w:pPr>
        <w:pStyle w:val="CalloutFormula"/>
      </w:pPr>
      <w:r>
        <w:t xml:space="preserve">With Poisson events at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client and hold timeout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, each request lasts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time to the next event. Its mean is</w:t>
      </w:r>
    </w:p>
    <w:p>
      <w:pPr>
        <w:pStyle w:val="CalloutFormula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duration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h</m:t>
                      </m:r>
                    </m:sub>
                  </m:sSub>
                </m:sup>
              </m:sSup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open</m:t>
              </m:r>
            </m:sub>
          </m:sSub>
          <m:r>
            <m:rPr>
              <m:sty m:val="p"/>
            </m:rPr>
            <m:t>≈</m:t>
          </m:r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update rate per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Server hold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Mean lifetime of one long-poll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connected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Request rate at the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open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Concurrently open requests (Little’s Law: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duration</m:t>
                  </m:r>
                </m:e>
              </m:d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§9.6.3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WebSocket framing overhead per frame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ext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125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126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535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536</m:t>
                    </m:r>
                  </m:e>
                </m:mr>
              </m:m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Header bytes per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Payload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ext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Extended-length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if masked (client→server), 0 otherwise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§9.7.2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Per-participant bandwidth by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per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Mesh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1.5</m:t>
              </m:r>
              <m:r>
                <m:t>b</m:t>
              </m:r>
            </m:oMath>
            <w:r>
              <w:t xml:space="preserve">–</w:t>
            </w:r>
            <m:oMath>
              <m:r>
                <m:t>2</m:t>
              </m:r>
              <m:r>
                <m:t>b</m:t>
              </m:r>
            </m:oMath>
            <w:r>
              <w:t xml:space="preserve"> </w:t>
            </w:r>
            <w:r>
              <w:t xml:space="preserve">with simulcast)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t xml:space="preserve"> </w:t>
            </w:r>
            <w:r>
              <w:t xml:space="preserve">(less if receivers get lower layers)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</w:t>
            </w:r>
            <w: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mix, encode up to</w:t>
            </w:r>
            <w:r>
              <w:t xml:space="preserve"> </w:t>
            </w:r>
            <m:oMath>
              <m:r>
                <m:t>N</m:t>
              </m:r>
            </m:oMath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Participants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Bitrate of one participant’s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Mbit/s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Gateway fleet sizing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conn,max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e>
          </m:d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⋅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conn,max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RAM per gateway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RAM budgeted for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Memory per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bytes/connection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blast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connections you accept losing in one server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conn,max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Design ceiling of connections per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concurrent 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Availability zones; the fleet must survive loss of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gateway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§9.9.3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Fan-out load</w:t>
      </w:r>
    </w:p>
    <w:p>
      <w:pPr>
        <w:pStyle w:val="CalloutFormula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×</m:t>
          </m:r>
          <m:acc>
            <m:accPr>
              <m:chr m:val="‾"/>
            </m:accPr>
            <m:e>
              <m:r>
                <m:t>r</m:t>
              </m:r>
            </m:e>
          </m:acc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 deliveries written to sockets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deliveries/second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Messages 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number of</w:t>
            </w:r>
            <w:r>
              <w:t xml:space="preserve"> </w:t>
            </w:r>
            <w:r>
              <w:rPr>
                <w:iCs/>
                <w:i/>
              </w:rPr>
              <w:t xml:space="preserve">online</w:t>
            </w:r>
            <w:r>
              <w:t xml:space="preserve"> </w:t>
            </w:r>
            <w:r>
              <w:t xml:space="preserve">recipients per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recipients/message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§9.9.6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Reconnect arrival rate with uniform jitter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reconnect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num>
            <m:den>
              <m:r>
                <m:t>W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reconnect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Peak reconnect (handshake)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connections/second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lost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Connections dropped by the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Width of the random delay window for the first reconnect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</w:tbl>
    <w:bookmarkEnd w:id="28"/>
    <w:bookmarkStart w:id="29" w:name="X9f37525d00c1dd653bb726f6d440f877e446a37"/>
    <w:p>
      <w:pPr>
        <w:pStyle w:val="Heading2"/>
      </w:pPr>
      <w:r>
        <w:t xml:space="preserve">Chapter 10 — Security Fundamentals for System Designers</w:t>
      </w:r>
    </w:p>
    <w:p>
      <w:pPr>
        <w:pStyle w:val="FirstParagraph"/>
      </w:pPr>
      <w:r>
        <w:rPr>
          <w:iCs/>
          <w:i/>
        </w:rPr>
        <w:t xml:space="preserve">From §10.3.5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Qualitative risk score</w:t>
      </w:r>
    </w:p>
    <w:p>
      <w:pPr>
        <w:pStyle w:val="CalloutFormula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×</m:t>
          </m:r>
          <m:r>
            <m:t>I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Risk score used to rank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 (1–9 on a 3-point scale)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Likelihood that the threat is exploited within the planning horizon (1 = unlikely, 2 = plausible, 3 = 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Impact if exploited (1 = minor, 2 = serious, 3 = severe: data breach, financial loss, regulatory)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 score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Birthday bound for hash collisions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collision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distinct inputs hashed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Digest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collision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at least two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digests are equal (valid while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CalloutFormula"/>
      </w:pPr>
      <w:r>
        <w:t xml:space="preserve">Consequence: an</w:t>
      </w:r>
      <w:r>
        <w:t xml:space="preserve"> </w:t>
      </w:r>
      <m:oMath>
        <m:r>
          <m:t>n</m:t>
        </m:r>
      </m:oMath>
      <w:r>
        <w:t xml:space="preserve">-bit hash offers about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bits of collision resistance,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From §10.4.2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Random-nonce collision probability for AES-GCM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reuse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97</m:t>
                  </m:r>
                </m:sup>
              </m:sSup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messages encrypted under one key with random 96-bit nonces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reuse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that any two of them share a nonce (birthday bound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§10.4.7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Entropy of a uniformly random secret</w:t>
      </w:r>
    </w:p>
    <w:p>
      <w:pPr>
        <w:pStyle w:val="CalloutFormula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Entropy: the number of bits an attacker must effectively guess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Length of the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equally likely choices per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symbols</w:t>
            </w:r>
          </w:p>
        </w:tc>
      </w:tr>
    </w:tbl>
    <w:p>
      <w:pPr>
        <w:pStyle w:val="CalloutFormula"/>
      </w:pPr>
      <w:r>
        <w:t xml:space="preserve">Valid only when every symbol is chosen independently and uniformly at random — true for machine-generated tokens, false for human-chosen passwords.</w:t>
      </w:r>
    </w:p>
    <w:p>
      <w:pPr>
        <w:pStyle w:val="BodyText"/>
      </w:pPr>
      <w:r>
        <w:rPr>
          <w:iCs/>
          <w:i/>
        </w:rPr>
        <w:t xml:space="preserve">From §10.6.2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Expected offline brute-force time</w:t>
      </w:r>
    </w:p>
    <w:p>
      <w:pPr>
        <w:pStyle w:val="CalloutFormula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G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Expected time to find one password (average: half the 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Size of the search space: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for random passwords, or the size of the attacker’s ranked wordlist up to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Guesses per second per attacking device for this hash function and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guesses/s/device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attacking devices (GPUs)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devices</w:t>
            </w:r>
          </w:p>
        </w:tc>
      </w:tr>
    </w:tbl>
    <w:p>
      <w:pPr>
        <w:pStyle w:val="CalloutFormula"/>
      </w:pPr>
      <w:r>
        <w:t xml:space="preserve">Salting means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paid</w:t>
      </w:r>
      <w:r>
        <w:t xml:space="preserve"> </w:t>
      </w:r>
      <w:r>
        <w:rPr>
          <w:bCs/>
          <w:b/>
        </w:rPr>
        <w:t xml:space="preserve">per user</w:t>
      </w:r>
      <w:r>
        <w:t xml:space="preserve">; without salts, one pass covers all users.</w:t>
      </w:r>
    </w:p>
    <w:p>
      <w:pPr>
        <w:pStyle w:val="BodyText"/>
      </w:pPr>
      <w:r>
        <w:rPr>
          <w:iCs/>
          <w:i/>
        </w:rPr>
        <w:t xml:space="preserve">From §10.8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Credential misuse window</w:t>
      </w:r>
    </w:p>
    <w:p>
      <w:pPr>
        <w:pStyle w:val="CalloutFormula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detect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rotate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long-lived credential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TTL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detect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revoke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short-lived credential</m:t>
                    </m:r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during which a leaked credential remains 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detect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from leak to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rotate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revoke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Time to rotate or revoke after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TTL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Lifetime of a short-lived credential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§10.9.2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KMS request rate under envelope encryption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KMS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num>
            <m:den>
              <m:r>
                <m:t>B</m:t>
              </m:r>
            </m:den>
          </m:f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KMS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KMS requests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obj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 of objects (or records) encrypted or decrypted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Objects protected per KMS call (1 for a DEK per object; larger with DEK caching or per-batch keys)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objects/request</w:t>
            </w:r>
          </w:p>
        </w:tc>
      </w:tr>
    </w:tbl>
    <w:p>
      <w:pPr>
        <w:pStyle w:val="BodyText"/>
      </w:pPr>
      <w:r>
        <w:rPr>
          <w:iCs/>
          <w:i/>
        </w:rPr>
        <w:t xml:space="preserve">From §10.11</w:t>
      </w:r>
    </w:p>
    <w:p>
      <w:pPr>
        <w:pStyle w:val="CalloutFormula"/>
      </w:pPr>
      <w:r>
        <w:rPr>
          <w:bCs/>
          <w:b/>
        </w:rPr>
        <w:t xml:space="preserve">FORMULA</w:t>
      </w:r>
    </w:p>
    <w:p>
      <w:pPr>
        <w:pStyle w:val="CalloutFormula"/>
      </w:pPr>
      <w:r>
        <w:rPr>
          <w:bCs/>
          <w:b/>
        </w:rPr>
        <w:t xml:space="preserve">Amplified attack bandwidth</w:t>
      </w:r>
    </w:p>
    <w:p>
      <w:pPr>
        <w:pStyle w:val="CalloutFormula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victim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rPr>
                  <m:nor/>
                  <m:sty m:val="p"/>
                </m:rPr>
                <m:t>attacker</m:t>
              </m:r>
            </m:sub>
          </m:sSub>
          <m:r>
            <m:rPr>
              <m:sty m:val="p"/>
            </m:rPr>
            <m:t>×</m:t>
          </m:r>
          <m:r>
            <m:t>A</m:t>
          </m:r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victim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Traffic arriving at the 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attacker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Spoofed request traffic the attacker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Bandwidth amplification factor of the abused protocol (response bytes / request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dimensionless</w:t>
            </w:r>
          </w:p>
        </w:tc>
      </w:tr>
    </w:tbl>
    <w:bookmarkEnd w:id="29"/>
    <w:bookmarkEnd w:id="30"/>
    <w:sectPr>
      <w:pgMar w:bottom="1247" w:left="1247" w:right="124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1B2A4A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1B2A4A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1B2A4A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Inter" w:asciiTheme="majorHAnsi" w:cstheme="majorBidi" w:eastAsiaTheme="majorEastAsia" w:hAnsi="Inter" w:hAnsiTheme="majorHAnsi"/>
      <w:i/>
      <w:b/>
      <w:bCs/>
      <w:color w:val="1F5FA8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Definition" w:type="paragraph">
    <w:name w:val="Callout Definition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Formula" w:type="paragraph">
    <w:name w:val="Callout Formula"/>
    <w:basedOn w:val="Normal"/>
    <w:pPr>
      <w:spacing w:after="60"/>
      <w:ind w:left="170"/>
      <w:pBdr>
        <w:left w:color="1F5FA8" w:space="8" w:sz="24" w:val="single"/>
      </w:pBdr>
      <w:shd w:color="auto" w:fill="EEF4FB" w:val="clear"/>
    </w:pPr>
    <w:rPr>
      <w:sz w:val="20"/>
    </w:rPr>
  </w:style>
  <w:style w:customStyle="1" w:styleId="CalloutConcept" w:type="paragraph">
    <w:name w:val="Callout Concept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Industry" w:type="paragraph">
    <w:name w:val="Callout Industry"/>
    <w:basedOn w:val="Normal"/>
    <w:pPr>
      <w:spacing w:after="60"/>
      <w:ind w:left="170"/>
      <w:pBdr>
        <w:left w:color="127A7A" w:space="8" w:sz="24" w:val="single"/>
      </w:pBdr>
      <w:shd w:color="auto" w:fill="ECF6F6" w:val="clear"/>
    </w:pPr>
    <w:rPr>
      <w:sz w:val="20"/>
    </w:rPr>
  </w:style>
  <w:style w:customStyle="1" w:styleId="CalloutTip" w:type="paragraph">
    <w:name w:val="Callout Tip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Recommendation" w:type="paragraph">
    <w:name w:val="Callout Recommendation"/>
    <w:basedOn w:val="Normal"/>
    <w:pPr>
      <w:spacing w:after="60"/>
      <w:ind w:left="170"/>
      <w:pBdr>
        <w:left w:color="3C7A4A" w:space="8" w:sz="24" w:val="single"/>
      </w:pBdr>
      <w:shd w:color="auto" w:fill="EEF5EF" w:val="clear"/>
    </w:pPr>
    <w:rPr>
      <w:sz w:val="20"/>
    </w:rPr>
  </w:style>
  <w:style w:customStyle="1" w:styleId="CalloutMistake" w:type="paragraph">
    <w:name w:val="Callout Mistake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Warning" w:type="paragraph">
    <w:name w:val="Callout Warning"/>
    <w:basedOn w:val="Normal"/>
    <w:pPr>
      <w:spacing w:after="60"/>
      <w:ind w:left="170"/>
      <w:pBdr>
        <w:left w:color="B7791F" w:space="8" w:sz="24" w:val="single"/>
      </w:pBdr>
      <w:shd w:color="auto" w:fill="FBF4E6" w:val="clear"/>
    </w:pPr>
    <w:rPr>
      <w:sz w:val="20"/>
    </w:rPr>
  </w:style>
  <w:style w:customStyle="1" w:styleId="CalloutExample" w:type="paragraph">
    <w:name w:val="Callout Exampl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Note" w:type="paragraph">
    <w:name w:val="Callout Note"/>
    <w:basedOn w:val="Normal"/>
    <w:pPr>
      <w:spacing w:after="60"/>
      <w:ind w:left="170"/>
      <w:pBdr>
        <w:left w:color="8A94A6" w:space="8" w:sz="24" w:val="single"/>
      </w:pBdr>
      <w:shd w:color="auto" w:fill="F4F5F7" w:val="clear"/>
    </w:pPr>
    <w:rPr>
      <w:sz w:val="20"/>
    </w:rPr>
  </w:style>
  <w:style w:customStyle="1" w:styleId="CalloutSummary" w:type="paragraph">
    <w:name w:val="Callout Summary"/>
    <w:basedOn w:val="Normal"/>
    <w:pPr>
      <w:spacing w:after="60"/>
      <w:ind w:left="170"/>
      <w:pBdr>
        <w:left w:color="1B2A4A" w:space="8" w:sz="24" w:val="single"/>
      </w:pBdr>
      <w:shd w:color="auto" w:fill="EEF4FB" w:val="clear"/>
    </w:pPr>
    <w:rPr>
      <w:sz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 and Quantitative Estimation Handbook</dc:title>
  <dc:creator/>
  <cp:keywords/>
  <dcterms:created xsi:type="dcterms:W3CDTF">2026-10-30T06:31:46Z</dcterms:created>
  <dcterms:modified xsi:type="dcterms:W3CDTF">2026-10-30T06:31:46Z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