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eastAsia="Times New Roman"/>
          <w:b/>
          <w:i w:val="0"/>
          <w:sz w:val="28"/>
        </w:rPr>
        <w:t>ChurnAI: Predicting Telecom Customer Churn from 12 Months of Behavior with an Attention-Based BiLSTM</w:t>
      </w:r>
    </w:p>
    <w:p>
      <w:pPr>
        <w:spacing w:before="0" w:after="40" w:line="264" w:lineRule="auto"/>
        <w:jc w:val="center"/>
      </w:pPr>
      <w:r>
        <w:rPr>
          <w:rFonts w:ascii="Times New Roman" w:hAnsi="Times New Roman" w:cs="Times New Roman" w:eastAsia="Times New Roman"/>
          <w:b w:val="0"/>
          <w:i w:val="0"/>
          <w:sz w:val="20"/>
        </w:rPr>
        <w:t>Brandon · Chaitra · Hillary · Isabelle · Venkata · Yash</w:t>
      </w:r>
    </w:p>
    <w:p>
      <w:pPr>
        <w:spacing w:before="0" w:after="120" w:line="264" w:lineRule="auto"/>
        <w:jc w:val="center"/>
      </w:pPr>
      <w:r>
        <w:rPr>
          <w:rFonts w:ascii="Times New Roman" w:hAnsi="Times New Roman" w:cs="Times New Roman" w:eastAsia="Times New Roman"/>
          <w:b w:val="0"/>
          <w:i/>
          <w:sz w:val="20"/>
        </w:rPr>
        <w:t>BUDT 751 — Harnessing AI for Business · Robert H. Smith School of Business, University of Maryland</w:t>
      </w:r>
    </w:p>
    <w:p>
      <w:pPr>
        <w:spacing w:line="264" w:lineRule="auto" w:after="120"/>
        <w:jc w:val="both"/>
      </w:pPr>
      <w:r>
        <w:rPr>
          <w:rFonts w:ascii="Times New Roman" w:hAnsi="Times New Roman" w:cs="Times New Roman" w:eastAsia="Times New Roman"/>
          <w:b/>
          <w:i/>
          <w:sz w:val="20"/>
        </w:rPr>
        <w:t xml:space="preserve">Abstract. </w:t>
      </w:r>
      <w:r>
        <w:rPr>
          <w:rFonts w:ascii="Times New Roman" w:hAnsi="Times New Roman" w:cs="Times New Roman" w:eastAsia="Times New Roman"/>
          <w:b w:val="0"/>
          <w:i/>
          <w:sz w:val="20"/>
        </w:rPr>
        <w:t>Most telecom churn models read a single snapshot of who a customer is today. We think the harder and more useful question is what their behavior has been doing for the last twelve months. ChurnAI is a dashboard-and-chatbot system built around a bidirectional LSTM with attention, trained to spot the kind of slow-then-sharp decline in data usage, logins, and call minutes that usually precedes a cancellation. On a held-out test set of 300 customers the model lands at AUC = 0.95, accuracy = 0.89, recall = 0.84, precision = 0.78, and F1 = 0.80. We also show that the attention weights are themselves a useful diagnostic: they tell an analyst not only that a customer is at risk, but which month of the customer's history the model is actually reacting to.</w:t>
      </w:r>
    </w:p>
    <w:p>
      <w:pPr>
        <w:keepNext/>
        <w:spacing w:before="160" w:after="40"/>
      </w:pPr>
      <w:r>
        <w:rPr>
          <w:rFonts w:ascii="Times New Roman" w:hAnsi="Times New Roman" w:cs="Times New Roman" w:eastAsia="Times New Roman"/>
          <w:b/>
          <w:i w:val="0"/>
          <w:color w:val="1F1F1F"/>
          <w:sz w:val="24"/>
        </w:rPr>
        <w:t>1. Introduction</w:t>
      </w:r>
    </w:p>
    <w:p>
      <w:pPr>
        <w:spacing w:before="0" w:after="40" w:line="264" w:lineRule="auto"/>
        <w:jc w:val="both"/>
      </w:pPr>
      <w:r>
        <w:rPr>
          <w:rFonts w:ascii="Times New Roman" w:hAnsi="Times New Roman" w:cs="Times New Roman" w:eastAsia="Times New Roman"/>
          <w:b w:val="0"/>
          <w:i w:val="0"/>
          <w:sz w:val="22"/>
        </w:rPr>
        <w:t>Customer churn is the most expensive line item a subscription business can actually control. In US wireless the rule of thumb is that signing a new customer costs five to seven times what it costs to keep one you already have [1], and a monthly attrition of one to three percent means a third of any carrier's base rolls over each year [2]. So the question worth answering isn't who has already left; it's who is about to leave with enough lead time for the retention team to do something about it. A snapshot model that looks only at today's contract type and current bill cannot tell you that; by the time the demographics start to look like a typical churner the cancellation decision has usually already been made. What carriers actually have, and what static models throw away, is a long behavioral trail: every month, the customer's data usage, call minutes, logins, support tickets and service outages are all logged. ChurnAI uses that trail directly. A two-layer bidirectional LSTM reads twelve months of six features and an attention head decides which months matter, wrapped in a Streamlit dashboard with a small grounded chatbot for analysts who don't write Python.</w:t>
      </w:r>
    </w:p>
    <w:p>
      <w:pPr>
        <w:keepNext/>
        <w:spacing w:before="160" w:after="40"/>
      </w:pPr>
      <w:r>
        <w:rPr>
          <w:rFonts w:ascii="Times New Roman" w:hAnsi="Times New Roman" w:cs="Times New Roman" w:eastAsia="Times New Roman"/>
          <w:b/>
          <w:i w:val="0"/>
          <w:color w:val="1F1F1F"/>
          <w:sz w:val="24"/>
        </w:rPr>
        <w:t>2. General Overview of Role / Business</w:t>
      </w:r>
    </w:p>
    <w:p>
      <w:pPr>
        <w:spacing w:before="0" w:after="40" w:line="264" w:lineRule="auto"/>
        <w:jc w:val="both"/>
      </w:pPr>
      <w:r>
        <w:rPr>
          <w:rFonts w:ascii="Times New Roman" w:hAnsi="Times New Roman" w:cs="Times New Roman" w:eastAsia="Times New Roman"/>
          <w:b w:val="0"/>
          <w:i w:val="0"/>
          <w:sz w:val="22"/>
        </w:rPr>
        <w:t>The user we built ChurnAI for is the retention analyst inside a tier-1 US telecom. Their primary KPI is monthly churn rate; secondary metrics are ARPU, Net Promoter Score, and how often a service issue produces an inbound call rather than self-resolving. A single percentage point off the churn rate, at a carrier with fifty million subscribers and an ARPU near sixty dollars, is roughly $360M a year in revenue the company didn't lose [2], which is the whole reason a retention team exists. The day-to-day work is a four-step loop: pull the morning's at-risk list, open an account and figure out what's going on, decide whether to push a discount or a goodwill call, and track which interventions actually worked. ChurnAI maps almost one-to-one onto that loop: the Home page is the leaderboard, Deep Dive handles diagnosis, the chatbot answers ad-hoc questions, and the Model page is where the analyst checks how trustworthy the scores are.</w:t>
      </w:r>
    </w:p>
    <w:p>
      <w:pPr>
        <w:keepNext/>
        <w:spacing w:before="160" w:after="40"/>
      </w:pPr>
      <w:r>
        <w:rPr>
          <w:rFonts w:ascii="Times New Roman" w:hAnsi="Times New Roman" w:cs="Times New Roman" w:eastAsia="Times New Roman"/>
          <w:b/>
          <w:i w:val="0"/>
          <w:color w:val="1F1F1F"/>
          <w:sz w:val="24"/>
        </w:rPr>
        <w:t>3. Methods and Methodologies</w:t>
      </w:r>
    </w:p>
    <w:p>
      <w:pPr>
        <w:spacing w:before="0" w:after="40" w:line="264" w:lineRule="auto"/>
        <w:jc w:val="both"/>
      </w:pPr>
      <w:r>
        <w:rPr>
          <w:rFonts w:ascii="Times New Roman" w:hAnsi="Times New Roman" w:cs="Times New Roman" w:eastAsia="Times New Roman"/>
          <w:b w:val="0"/>
          <w:i w:val="0"/>
          <w:sz w:val="22"/>
        </w:rPr>
        <w:t>Two things have shifted in this space recently. First, gradient-boosted trees, which were the default for tabular churn for nearly a decade, have lost ground to sequence models like LSTMs and temporal fusion transformers once the input is actually a sequence rather than a snapshot [3, 4, 5]. Attention is the key piece because it lets the model report which months it's reacting to, something a boosted tree structurally can't do. Second, predictions are increasingly consumed conversationally rather than as a number on a dashboard; retrieval-augmented generation [6] and broader conversational analytics are doing to BI what early dashboards did to spreadsheets. ChurnAI takes both ideas on board, with one constraint: the chatbot has to ground every answer in real rows from the live prediction tables. We chose a regex-based intent router with seventeen handlers over a generic LLM wrapper precisely because we wanted a system where it is impossible to invent a number that isn't in the data.</w:t>
      </w:r>
    </w:p>
    <w:p>
      <w:pPr>
        <w:keepNext/>
        <w:spacing w:before="160" w:after="40"/>
      </w:pPr>
      <w:r>
        <w:rPr>
          <w:rFonts w:ascii="Times New Roman" w:hAnsi="Times New Roman" w:cs="Times New Roman" w:eastAsia="Times New Roman"/>
          <w:b/>
          <w:i w:val="0"/>
          <w:color w:val="1F1F1F"/>
          <w:sz w:val="24"/>
        </w:rPr>
        <w:t>4. Product Overview</w:t>
      </w:r>
    </w:p>
    <w:p>
      <w:pPr>
        <w:spacing w:before="0" w:after="40" w:line="264" w:lineRule="auto"/>
        <w:jc w:val="both"/>
      </w:pPr>
      <w:r>
        <w:rPr>
          <w:rFonts w:ascii="Times New Roman" w:hAnsi="Times New Roman" w:cs="Times New Roman" w:eastAsia="Times New Roman"/>
          <w:b w:val="0"/>
          <w:i w:val="0"/>
          <w:sz w:val="22"/>
        </w:rPr>
        <w:t>The dashboard has six pages. Home shows four KPI cards (total customers scored, count flagged High and Medium, monthly revenue exposed), plus a donut of risk tiers and a probability histogram. Ask-the-Data is the grounded chatbot. Deep Dive is the per-customer drilldown discussed in Section 10. Predict is an interactive slider page that lets the analyst type in 12 months of behavior for a hypothetical customer and watch the model react in real time. Cohorts compares the high- and low-risk groups (Attachment 3). The Model page reports the held-out metrics in Table 2.</w:t>
      </w:r>
    </w:p>
    <w:p>
      <w:pPr>
        <w:keepNext/>
        <w:spacing w:before="160" w:after="40"/>
      </w:pPr>
      <w:r>
        <w:rPr>
          <w:rFonts w:ascii="Times New Roman" w:hAnsi="Times New Roman" w:cs="Times New Roman" w:eastAsia="Times New Roman"/>
          <w:b/>
          <w:i w:val="0"/>
          <w:color w:val="1F1F1F"/>
          <w:sz w:val="24"/>
        </w:rPr>
        <w:t>5. Technical Implementation</w:t>
      </w:r>
    </w:p>
    <w:p>
      <w:pPr>
        <w:spacing w:before="0" w:after="40" w:line="264" w:lineRule="auto"/>
        <w:jc w:val="both"/>
      </w:pPr>
      <w:r>
        <w:rPr>
          <w:rFonts w:ascii="Times New Roman" w:hAnsi="Times New Roman" w:cs="Times New Roman" w:eastAsia="Times New Roman"/>
          <w:b w:val="0"/>
          <w:i w:val="0"/>
          <w:sz w:val="22"/>
        </w:rPr>
        <w:t>Each customer is a (12, 6) array (twelve months down, six features across: data_gb, call_minutes, monthly_charge, support_tickets, login_count, service_outages). A two-layer BiLSTM with hidden size 128 and dropout 0.3 turns that into a (12, 256) sequence. An additive attention head computes α_t = softmax(v · tanh(W h_t)) and produces c = Σ α_t h_t, which is fed through Linear-LayerNorm-Dropout down to a 128-dim embedding and a single sigmoid output. The reason for using attention rather than the LSTM's final hidden state is that the final state is structurally biased toward the most recent month, while a churn signal can live four or five months earlier (e.g. a price increase the customer didn't react to immediately). The attention map doubles as an explanation tool on the Deep Dive page. Loss is BCEWithLogitsLoss with pos_weight = 2.5 for the 27.5% positive class. The optimizer is AdamW at lr = 1e-3, weight decay 1e-5, dropped on plateau. The 70/15/15 split is seeded at RANDOM_SEED = 42, and 15 epochs at batch size 64 train the whole thing in under ten seconds on a MacBook with PyTorch MPS. The dashboard caches the saved 2.5 MB checkpoint via Streamlit's resource cache; predictions are pre-written to predictions.csv except on the Predict page, where each slider change triggers a fresh forward pass. There are no external APIs and no LLM dependency.</w:t>
      </w:r>
    </w:p>
    <w:p>
      <w:pPr>
        <w:keepNext/>
        <w:spacing w:before="160" w:after="40"/>
      </w:pPr>
      <w:r>
        <w:rPr>
          <w:rFonts w:ascii="Times New Roman" w:hAnsi="Times New Roman" w:cs="Times New Roman" w:eastAsia="Times New Roman"/>
          <w:b/>
          <w:i w:val="0"/>
          <w:color w:val="1F1F1F"/>
          <w:sz w:val="24"/>
        </w:rPr>
        <w:t>6. Data Collection and Preprocessing</w:t>
      </w:r>
    </w:p>
    <w:p>
      <w:pPr>
        <w:spacing w:before="0" w:after="40" w:line="264" w:lineRule="auto"/>
        <w:jc w:val="both"/>
      </w:pPr>
      <w:r>
        <w:rPr>
          <w:rFonts w:ascii="Times New Roman" w:hAnsi="Times New Roman" w:cs="Times New Roman" w:eastAsia="Times New Roman"/>
          <w:b w:val="0"/>
          <w:i w:val="0"/>
          <w:sz w:val="22"/>
        </w:rPr>
        <w:t>The well-known public dataset for telecom churn is the Kaggle Telco Customer Churn corpus [7], but it only contains a single static snapshot per customer. No carrier has publicly released longitudinal per-customer behavior, for obvious privacy and competitive reasons. So we wrote our own generator. It produces 2,000 customers and 12 months each, for 24,000 rows. Every customer gets a Kaggle-style ID (four digits, a dash, five letters, e.g. 0982-QHUUQ), and that ID is hashed with MD5 to seed an independent NumPy RNG, so the same script reproduces the same rows on any machine. Retained customers follow stable or slightly growing curves with Gaussian noise. Churners go through three phases: roughly normal in months 1–6, a 15–30 % drop in usage and logins during months 7–10, and a sharper 45–65 % drop in months 11–12, with two to four monthly tickets opening up and the monthly charge drifting up about 10 %. To keep the data from being trivially separable (our first version hit AUC = 1.000, which is a sign you've built a toy), we draw a per-customer ambiguity factor from Beta(1.2, 1.4) so that roughly a third of each class looks ambiguous on purpose. Preprocessing is a single StandardScaler fit on the training fold only and applied to validation and test.</w:t>
      </w:r>
    </w:p>
    <w:p>
      <w:pPr>
        <w:keepNext/>
        <w:spacing w:before="160" w:after="40"/>
      </w:pPr>
      <w:r>
        <w:rPr>
          <w:rFonts w:ascii="Times New Roman" w:hAnsi="Times New Roman" w:cs="Times New Roman" w:eastAsia="Times New Roman"/>
          <w:b/>
          <w:i w:val="0"/>
          <w:color w:val="1F1F1F"/>
          <w:sz w:val="24"/>
        </w:rPr>
        <w:t>7. Bias Detection and Evaluation</w:t>
      </w:r>
    </w:p>
    <w:p>
      <w:pPr>
        <w:spacing w:before="0" w:after="40" w:line="264" w:lineRule="auto"/>
        <w:jc w:val="both"/>
      </w:pPr>
      <w:r>
        <w:rPr>
          <w:rFonts w:ascii="Times New Roman" w:hAnsi="Times New Roman" w:cs="Times New Roman" w:eastAsia="Times New Roman"/>
          <w:b w:val="0"/>
          <w:i w:val="0"/>
          <w:sz w:val="22"/>
        </w:rPr>
        <w:t>We audited the model along the two demographic-like axes the data actually exposes: contract type and internet service. The pattern is the one anyone who has worked on real telecom data would expect: month-to-month accounts get flagged High at a much higher rate than annual or two-year contracts (see Attachment 1, Contract × Tier), and fiber customers are flagged more often than DSL. This isn't spurious; the underlying churn rate really is much higher in month-to-month and fiber, in our data and in every published benchmark we know of [7]. The real risk is downstream: aggressive offers will tilt toward month-to-month fiber customers, and that slice may not be demographically neutral. The mean month-12 profile by predicted tier (Attachment 2) makes the behavioral fingerprint explicit: the High-risk group sits at 13.7 GB / 17 logins / 1.45 tickets per month, the Medium group at 17.4 GB / 22.8 / 0.57, and the Low-risk group at 20.5 GB / 25.5 / 0.60. Lower usage, fewer logins, more complaints, and the gap is roughly twice the within-group standard deviation, so the tiers aren't an artifact of noise. Before any real deployment we'd add three mitigations: (i) reweight the training loss by contract group so the model can't lean too hard on a single segment; (ii) counterfactual checks that re-score each customer with the contract type flipped and bound the predicted-probability delta; and (iii) surface recall by segment inside the dashboard so the analyst sees when interventions are concentrating on a narrow slice.</w:t>
      </w:r>
    </w:p>
    <w:p>
      <w:pPr>
        <w:keepNext/>
        <w:spacing w:before="60" w:after="20"/>
      </w:pPr>
      <w:r>
        <w:rPr>
          <w:rFonts w:ascii="Times New Roman" w:hAnsi="Times New Roman" w:cs="Times New Roman" w:eastAsia="Times New Roman"/>
          <w:b/>
          <w:i/>
          <w:sz w:val="22"/>
        </w:rPr>
        <w:t>Confusion matrix and metric breakdown.</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2016"/>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r>
          </w:p>
        </w:tc>
        <w:tc>
          <w:tcPr>
            <w:tcW w:type="dxa" w:w="2160"/>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Predicted Churn</w:t>
            </w:r>
          </w:p>
        </w:tc>
        <w:tc>
          <w:tcPr>
            <w:tcW w:type="dxa" w:w="2160"/>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Predicted Stay</w:t>
            </w:r>
          </w:p>
        </w:tc>
        <w:tc>
          <w:tcPr>
            <w:tcW w:type="dxa" w:w="1440"/>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Row total</w:t>
            </w:r>
          </w:p>
        </w:tc>
      </w:tr>
      <w:tr>
        <w:tc>
          <w:tcPr>
            <w:tcW w:type="dxa" w:w="201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Actual Churn</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69  (TP)</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13  (FN)</w:t>
            </w:r>
          </w:p>
        </w:tc>
        <w:tc>
          <w:tcPr>
            <w:tcW w:type="dxa" w:w="144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82</w:t>
            </w:r>
          </w:p>
        </w:tc>
      </w:tr>
      <w:tr>
        <w:tc>
          <w:tcPr>
            <w:tcW w:type="dxa" w:w="201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Actual Stay</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20  (FP)</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198  (TN)</w:t>
            </w:r>
          </w:p>
        </w:tc>
        <w:tc>
          <w:tcPr>
            <w:tcW w:type="dxa" w:w="144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218</w:t>
            </w:r>
          </w:p>
        </w:tc>
      </w:tr>
      <w:tr>
        <w:tc>
          <w:tcPr>
            <w:tcW w:type="dxa" w:w="201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Col. total</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89</w:t>
            </w:r>
          </w:p>
        </w:tc>
        <w:tc>
          <w:tcPr>
            <w:tcW w:type="dxa" w:w="216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211</w:t>
            </w:r>
          </w:p>
        </w:tc>
        <w:tc>
          <w:tcPr>
            <w:tcW w:type="dxa" w:w="1440"/>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300</w:t>
            </w:r>
          </w:p>
        </w:tc>
      </w:tr>
    </w:tbl>
    <w:p>
      <w:pPr>
        <w:spacing w:before="20" w:after="100"/>
        <w:jc w:val="center"/>
      </w:pPr>
      <w:r>
        <w:rPr>
          <w:rFonts w:ascii="Times New Roman" w:hAnsi="Times New Roman" w:cs="Times New Roman" w:eastAsia="Times New Roman"/>
          <w:b w:val="0"/>
          <w:i/>
          <w:color w:val="444444"/>
          <w:sz w:val="20"/>
        </w:rPr>
        <w:t>Table 1. Confusion matrix on the 300-customer held-out test set at probability threshold 0.5. The model misses 13 true churners (FN) and produces 20 false alarms (FP).</w:t>
      </w:r>
    </w:p>
    <w:tbl>
      <w:tblPr>
        <w:tblW w:type="auto" w:w="0"/>
        <w:jc w:val="center"/>
        <w:tblLayout w:type="fixed"/>
        <w:tblLook w:firstColumn="1" w:firstRow="1" w:lastColumn="0" w:lastRow="0" w:noHBand="0" w:noVBand="1" w:val="04A0"/>
      </w:tblPr>
      <w:tblGrid>
        <w:gridCol w:w="3264"/>
        <w:gridCol w:w="3264"/>
        <w:gridCol w:w="3264"/>
      </w:tblGrid>
      <w:tr>
        <w:tc>
          <w:tcPr>
            <w:tcW w:type="dxa" w:w="1296"/>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Metric</w:t>
            </w:r>
          </w:p>
        </w:tc>
        <w:tc>
          <w:tcPr>
            <w:tcW w:type="dxa" w:w="1008"/>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Value</w:t>
            </w:r>
          </w:p>
        </w:tc>
        <w:tc>
          <w:tcPr>
            <w:tcW w:type="dxa" w:w="6048"/>
            <w:tcBorders>
              <w:top w:val="single" w:sz="6" w:color="999999"/>
              <w:left w:val="single" w:sz="6" w:color="999999"/>
              <w:bottom w:val="single" w:sz="6" w:color="999999"/>
              <w:right w:val="single" w:sz="6" w:color="999999"/>
            </w:tcBorders>
            <w:shd w:val="clear" w:color="auto" w:fill="F2F2F2"/>
          </w:tcPr>
          <w:p>
            <w:pPr>
              <w:spacing w:after="0"/>
              <w:jc w:val="center"/>
            </w:pPr>
            <w:r/>
            <w:r>
              <w:rPr>
                <w:rFonts w:ascii="Times New Roman" w:hAnsi="Times New Roman" w:cs="Times New Roman" w:eastAsia="Times New Roman"/>
                <w:b/>
                <w:i w:val="0"/>
                <w:sz w:val="20"/>
              </w:rPr>
              <w:t>What it tells us</w:t>
            </w:r>
          </w:p>
        </w:tc>
      </w:tr>
      <w:tr>
        <w:tc>
          <w:tcPr>
            <w:tcW w:type="dxa" w:w="129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Accuracy</w:t>
            </w:r>
          </w:p>
        </w:tc>
        <w:tc>
          <w:tcPr>
            <w:tcW w:type="dxa" w:w="100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0.893</w:t>
            </w:r>
          </w:p>
        </w:tc>
        <w:tc>
          <w:tcPr>
            <w:tcW w:type="dxa" w:w="604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Right calls overall, but rewards majority class.</w:t>
            </w:r>
          </w:p>
        </w:tc>
      </w:tr>
      <w:tr>
        <w:tc>
          <w:tcPr>
            <w:tcW w:type="dxa" w:w="129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Recall</w:t>
            </w:r>
          </w:p>
        </w:tc>
        <w:tc>
          <w:tcPr>
            <w:tcW w:type="dxa" w:w="100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0.835</w:t>
            </w:r>
          </w:p>
        </w:tc>
        <w:tc>
          <w:tcPr>
            <w:tcW w:type="dxa" w:w="604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Share of true churners we actually catch.</w:t>
            </w:r>
          </w:p>
        </w:tc>
      </w:tr>
      <w:tr>
        <w:tc>
          <w:tcPr>
            <w:tcW w:type="dxa" w:w="129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Precision</w:t>
            </w:r>
          </w:p>
        </w:tc>
        <w:tc>
          <w:tcPr>
            <w:tcW w:type="dxa" w:w="100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0.776</w:t>
            </w:r>
          </w:p>
        </w:tc>
        <w:tc>
          <w:tcPr>
            <w:tcW w:type="dxa" w:w="604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Share of flagged customers who really were churning.</w:t>
            </w:r>
          </w:p>
        </w:tc>
      </w:tr>
      <w:tr>
        <w:tc>
          <w:tcPr>
            <w:tcW w:type="dxa" w:w="129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F1</w:t>
            </w:r>
          </w:p>
        </w:tc>
        <w:tc>
          <w:tcPr>
            <w:tcW w:type="dxa" w:w="100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0.805</w:t>
            </w:r>
          </w:p>
        </w:tc>
        <w:tc>
          <w:tcPr>
            <w:tcW w:type="dxa" w:w="604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Harmonic mean of precision and recall.</w:t>
            </w:r>
          </w:p>
        </w:tc>
      </w:tr>
      <w:tr>
        <w:tc>
          <w:tcPr>
            <w:tcW w:type="dxa" w:w="1296"/>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AUC-ROC</w:t>
            </w:r>
          </w:p>
        </w:tc>
        <w:tc>
          <w:tcPr>
            <w:tcW w:type="dxa" w:w="100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0.953</w:t>
            </w:r>
          </w:p>
        </w:tc>
        <w:tc>
          <w:tcPr>
            <w:tcW w:type="dxa" w:w="6048"/>
            <w:tcBorders>
              <w:top w:val="single" w:sz="6" w:color="999999"/>
              <w:left w:val="single" w:sz="6" w:color="999999"/>
              <w:bottom w:val="single" w:sz="6" w:color="999999"/>
              <w:right w:val="single" w:sz="6" w:color="999999"/>
            </w:tcBorders>
          </w:tcPr>
          <w:p>
            <w:pPr>
              <w:spacing w:after="0"/>
              <w:jc w:val="center"/>
            </w:pPr>
            <w:r/>
            <w:r>
              <w:rPr>
                <w:rFonts w:ascii="Times New Roman" w:hAnsi="Times New Roman" w:cs="Times New Roman" w:eastAsia="Times New Roman"/>
                <w:b w:val="0"/>
                <w:i w:val="0"/>
                <w:sz w:val="20"/>
              </w:rPr>
              <w:t>Threshold-free ranking quality.</w:t>
            </w:r>
          </w:p>
        </w:tc>
      </w:tr>
    </w:tbl>
    <w:p>
      <w:pPr>
        <w:spacing w:before="20" w:after="100"/>
        <w:jc w:val="center"/>
      </w:pPr>
      <w:r>
        <w:rPr>
          <w:rFonts w:ascii="Times New Roman" w:hAnsi="Times New Roman" w:cs="Times New Roman" w:eastAsia="Times New Roman"/>
          <w:b w:val="0"/>
          <w:i/>
          <w:color w:val="444444"/>
          <w:sz w:val="20"/>
        </w:rPr>
        <w:t>Table 2. Held-out test-set metrics. Recall is deliberately weighted higher than precision via pos_weight = 2.5 in the loss, because missing a churner is usually more expensive than wasting one retention offer.</w:t>
      </w:r>
    </w:p>
    <w:p>
      <w:pPr>
        <w:keepNext/>
        <w:spacing w:before="160" w:after="40"/>
      </w:pPr>
      <w:r>
        <w:rPr>
          <w:rFonts w:ascii="Times New Roman" w:hAnsi="Times New Roman" w:cs="Times New Roman" w:eastAsia="Times New Roman"/>
          <w:b/>
          <w:i w:val="0"/>
          <w:color w:val="1F1F1F"/>
          <w:sz w:val="24"/>
        </w:rPr>
        <w:t>8. Future Implementation</w:t>
      </w:r>
    </w:p>
    <w:p>
      <w:pPr>
        <w:spacing w:before="0" w:after="40" w:line="264" w:lineRule="auto"/>
        <w:jc w:val="both"/>
      </w:pPr>
      <w:r>
        <w:rPr>
          <w:rFonts w:ascii="Times New Roman" w:hAnsi="Times New Roman" w:cs="Times New Roman" w:eastAsia="Times New Roman"/>
          <w:b w:val="0"/>
          <w:i w:val="0"/>
          <w:sz w:val="22"/>
        </w:rPr>
        <w:t>Five items are on the next-iteration list: (i) fold in a DistilBERT branch reading the text of support tickets, fused with the LSTM and a small tabular MLP through cross-attention; (ii) wrap the model in a FastAPI service so the carrier's CRM can request a score on demand instead of waiting for the nightly batch; (iii) move from pure churn prediction to uplift modeling, so the system tells us who will respond to an offer, not just who will leave; (iv) swap the regex chatbot for a local LLaMA-3 via Ollama, with retrieval-grounded explanations that stay on the company's hardware; and (v) a continual-learning schedule that retrains every month as fresh data lands.</w:t>
      </w:r>
    </w:p>
    <w:p>
      <w:pPr>
        <w:keepNext/>
        <w:spacing w:before="160" w:after="40"/>
      </w:pPr>
      <w:r>
        <w:rPr>
          <w:rFonts w:ascii="Times New Roman" w:hAnsi="Times New Roman" w:cs="Times New Roman" w:eastAsia="Times New Roman"/>
          <w:b/>
          <w:i w:val="0"/>
          <w:color w:val="1F1F1F"/>
          <w:sz w:val="24"/>
        </w:rPr>
        <w:t>9. Challenges</w:t>
      </w:r>
    </w:p>
    <w:p>
      <w:pPr>
        <w:spacing w:before="0" w:after="40" w:line="264" w:lineRule="auto"/>
        <w:jc w:val="both"/>
      </w:pPr>
      <w:r>
        <w:rPr>
          <w:rFonts w:ascii="Times New Roman" w:hAnsi="Times New Roman" w:cs="Times New Roman" w:eastAsia="Times New Roman"/>
          <w:b w:val="0"/>
          <w:i w:val="0"/>
          <w:sz w:val="22"/>
        </w:rPr>
        <w:t>Four problems took real time. Calibrating the synthetic dataset was the first: our initial generator produced an AUC of 1.000, which is a sign you've made the problem too easy, not that you've built a great model. Adding the ambiguity factor brought it down to an honest 0.95. The second was preventing scale leakage: scalers have to be fit on the training fold only, or the model is silently cheating. The third was the decision not to use an LLM in the chatbot: a generic RAG setup is more flexible but it makes mistakes the user can't easily catch, while a hand-written router is rigid but cannot invent a number. The fourth was a Streamlit quirk we hit late: indented HTML inside f-strings was being parsed as a fenced code block, so the chatbot was rendering its own markup as literal text. Emitting the HTML on a single un-indented line fixed it.</w:t>
      </w:r>
    </w:p>
    <w:p>
      <w:pPr>
        <w:keepNext/>
        <w:spacing w:before="160" w:after="40"/>
      </w:pPr>
      <w:r>
        <w:rPr>
          <w:rFonts w:ascii="Times New Roman" w:hAnsi="Times New Roman" w:cs="Times New Roman" w:eastAsia="Times New Roman"/>
          <w:b/>
          <w:i w:val="0"/>
          <w:color w:val="1F1F1F"/>
          <w:sz w:val="24"/>
        </w:rPr>
        <w:t>10. Critical Analysis</w:t>
      </w:r>
    </w:p>
    <w:p>
      <w:pPr>
        <w:keepNext/>
        <w:spacing w:before="60" w:after="20"/>
      </w:pPr>
      <w:r>
        <w:rPr>
          <w:rFonts w:ascii="Times New Roman" w:hAnsi="Times New Roman" w:cs="Times New Roman" w:eastAsia="Times New Roman"/>
          <w:b/>
          <w:i/>
          <w:sz w:val="22"/>
        </w:rPr>
        <w:t>Overall behavior across the base.</w:t>
      </w:r>
    </w:p>
    <w:p>
      <w:pPr>
        <w:spacing w:before="0" w:after="40" w:line="264" w:lineRule="auto"/>
        <w:jc w:val="both"/>
      </w:pPr>
      <w:r>
        <w:rPr>
          <w:rFonts w:ascii="Times New Roman" w:hAnsi="Times New Roman" w:cs="Times New Roman" w:eastAsia="Times New Roman"/>
          <w:b w:val="0"/>
          <w:i w:val="0"/>
          <w:sz w:val="22"/>
        </w:rPr>
        <w:t>An AUC of 0.95 with only six features per month and 2,000 customers in training suggests the temporal pattern is carrying most of the signal; feature engineering isn't doing the heavy lifting here. The cohort view in Attachment 3 is probably the clearest argument for using a sequence model at all: average monthly data usage for the high-risk cohort (n = 511) tracks the low-risk cohort (n = 1,343) almost exactly through months 1–6, peels away around month seven, and dives from ~20 GB to ~13.5 GB across months 11 and 12. A static feature like "current data usage" picks that signal up far too late, which is the whole reason a snapshot model is structurally limited on this problem.</w:t>
      </w:r>
    </w:p>
    <w:p>
      <w:pPr>
        <w:keepNext/>
        <w:spacing w:before="60" w:after="20"/>
      </w:pPr>
      <w:r>
        <w:rPr>
          <w:rFonts w:ascii="Times New Roman" w:hAnsi="Times New Roman" w:cs="Times New Roman" w:eastAsia="Times New Roman"/>
          <w:b/>
          <w:i/>
          <w:sz w:val="22"/>
        </w:rPr>
        <w:t>Two customers, two stories.</w:t>
      </w:r>
    </w:p>
    <w:p>
      <w:pPr>
        <w:spacing w:before="0" w:after="40" w:line="264" w:lineRule="auto"/>
        <w:jc w:val="both"/>
      </w:pPr>
      <w:r>
        <w:rPr>
          <w:rFonts w:ascii="Times New Roman" w:hAnsi="Times New Roman" w:cs="Times New Roman" w:eastAsia="Times New Roman"/>
          <w:b w:val="0"/>
          <w:i w:val="0"/>
          <w:sz w:val="22"/>
        </w:rPr>
        <w:t>The two individual case studies (Attachments 4 and 5) are the clearest test of whether the model is doing something defensible or just memorising. Attachment 4 is a low-risk customer. The 12-month trajectory is essentially flat across all four features, the risk gauge sits at 28.6 %, and the attention head is mostly indifferent: a small natural lift on month 12 (the usual recency bias of a recurrent model), but the rest of the bars are nearly even. The model has nothing to react to, and it correctly doesn't react. Attachment 5 is the opposite. Customer 0982-QHUUQ is a month-to-month account with eight months of tenure and a CHURNED ground-truth label. The trajectory tells the story before you even read the probability: data usage drifts down from roughly 29 GB to 12 GB, logins climb in the first half of the year and then collapse from 25 down to 12 in the last quarter, calls spike at month seven (probably a complaint) and then taper off, and three to five support tickets a month start showing up in months nine through twelve. The model assigns this account a 99.6 % churn probability, and (this is the part we find most interesting) its attention head puts essentially all of its weight on months 10, 11, and 12, with month 12 dominant. That is the same diagnosis a human analyst would make. The model agrees with the analyst, and it tells the analyst which months changed its mind.</w:t>
      </w:r>
    </w:p>
    <w:p>
      <w:pPr>
        <w:keepNext/>
        <w:spacing w:before="60" w:after="20"/>
      </w:pPr>
      <w:r>
        <w:rPr>
          <w:rFonts w:ascii="Times New Roman" w:hAnsi="Times New Roman" w:cs="Times New Roman" w:eastAsia="Times New Roman"/>
          <w:b/>
          <w:i/>
          <w:sz w:val="22"/>
        </w:rPr>
        <w:t>Where the model fails.</w:t>
      </w:r>
    </w:p>
    <w:p>
      <w:pPr>
        <w:spacing w:before="0" w:after="40" w:line="264" w:lineRule="auto"/>
        <w:jc w:val="both"/>
      </w:pPr>
      <w:r>
        <w:rPr>
          <w:rFonts w:ascii="Times New Roman" w:hAnsi="Times New Roman" w:cs="Times New Roman" w:eastAsia="Times New Roman"/>
          <w:b w:val="0"/>
          <w:i w:val="0"/>
          <w:sz w:val="22"/>
        </w:rPr>
        <w:t>The honest version of the test-set numbers is in Tables 1 and 2. Precision sits at 0.776, meaning roughly one in four high-risk flags is a false alarm: 20 false positives in the test set of 300, scaling to about 115 of the 511 high-risk flags across the full base. That is survivable for low-cost channels (email, in-app banner) and noticeably less survivable for outbound calls. Our synthetic data is also cleaner than real telecom data, so we'd expect the AUC to slip by five to ten points against production logs. The model still ignores two known signal sources, the text of support tickets and static demographics, both of which are on the roadmap. As a sanity check we ran a rule baseline (flag any customer whose mean usage in months 10–12 was below 50 % of months 1–6) on the same test split; it gets AUC ≈ 0.78, so the BiLSTM adds roughly seventeen points of AUC, a reasonable return on the architectural complexity.</w:t>
      </w:r>
    </w:p>
    <w:p>
      <w:pPr>
        <w:keepNext/>
        <w:spacing w:before="160" w:after="40"/>
      </w:pPr>
      <w:r>
        <w:rPr>
          <w:rFonts w:ascii="Times New Roman" w:hAnsi="Times New Roman" w:cs="Times New Roman" w:eastAsia="Times New Roman"/>
          <w:b/>
          <w:i w:val="0"/>
          <w:color w:val="1F1F1F"/>
          <w:sz w:val="24"/>
        </w:rPr>
        <w:t>11. Conclusion</w:t>
      </w:r>
    </w:p>
    <w:p>
      <w:pPr>
        <w:spacing w:before="0" w:after="40" w:line="264" w:lineRule="auto"/>
        <w:jc w:val="both"/>
      </w:pPr>
      <w:r>
        <w:rPr>
          <w:rFonts w:ascii="Times New Roman" w:hAnsi="Times New Roman" w:cs="Times New Roman" w:eastAsia="Times New Roman"/>
          <w:b w:val="0"/>
          <w:i w:val="0"/>
          <w:sz w:val="22"/>
        </w:rPr>
        <w:t>ChurnAI is, at heart, an argument that the temporal behavior of a telecom customer over the last year is more predictive of their next decision than their static profile, and that a small BiLSTM with an attention head is enough to extract that signal. The held-out AUC of 0.95, the under-ten-second training time, the reproducible synthetic dataset, and the no-cost local deployment together make the system practical to pilot. Next: add the text and tabular modalities, move to uplift, and stand the model behind a real-time API.</w:t>
      </w:r>
    </w:p>
    <w:p>
      <w:pPr>
        <w:keepNext/>
        <w:spacing w:before="160" w:after="40"/>
      </w:pPr>
      <w:r>
        <w:rPr>
          <w:rFonts w:ascii="Times New Roman" w:hAnsi="Times New Roman" w:cs="Times New Roman" w:eastAsia="Times New Roman"/>
          <w:b/>
          <w:i w:val="0"/>
          <w:color w:val="1F1F1F"/>
          <w:sz w:val="24"/>
        </w:rPr>
        <w:t>12. Attachments</w:t>
      </w:r>
    </w:p>
    <w:p>
      <w:pPr>
        <w:spacing w:before="0" w:after="40" w:line="264" w:lineRule="auto"/>
        <w:jc w:val="both"/>
      </w:pPr>
      <w:r>
        <w:rPr>
          <w:rFonts w:ascii="Times New Roman" w:hAnsi="Times New Roman" w:cs="Times New Roman" w:eastAsia="Times New Roman"/>
          <w:b w:val="0"/>
          <w:i w:val="0"/>
          <w:sz w:val="22"/>
        </w:rPr>
        <w:t>The five PNG files listed below ship alongside this paper and are referenced inline by attachment number. The first three give the overall cohort-level analysis; the last two are the customer-specific Deep Dive views.</w:t>
      </w:r>
    </w:p>
    <w:p>
      <w:pPr>
        <w:spacing w:after="40" w:line="264" w:lineRule="auto"/>
        <w:ind w:left="360" w:hanging="360"/>
      </w:pPr>
      <w:r>
        <w:rPr>
          <w:rFonts w:ascii="Times New Roman" w:hAnsi="Times New Roman" w:cs="Times New Roman" w:eastAsia="Times New Roman"/>
          <w:b/>
          <w:i w:val="0"/>
          <w:sz w:val="20"/>
        </w:rPr>
        <w:t xml:space="preserve">Attachment 1 — Contract × Tier  </w:t>
      </w:r>
      <w:r>
        <w:rPr>
          <w:rFonts w:ascii="Times New Roman" w:hAnsi="Times New Roman" w:cs="Times New Roman" w:eastAsia="Times New Roman"/>
          <w:b w:val="0"/>
          <w:i/>
          <w:color w:val="555555"/>
          <w:sz w:val="20"/>
        </w:rPr>
        <w:t xml:space="preserve">(Attachment_1_Contract_x_Tier.png) — </w:t>
      </w:r>
      <w:r>
        <w:rPr>
          <w:rFonts w:ascii="Times New Roman" w:hAnsi="Times New Roman" w:cs="Times New Roman" w:eastAsia="Times New Roman"/>
          <w:b w:val="0"/>
          <w:i w:val="0"/>
          <w:sz w:val="20"/>
        </w:rPr>
        <w:t>Risk-tier counts by contract type. Used in Section 7.</w:t>
      </w:r>
    </w:p>
    <w:p>
      <w:pPr>
        <w:spacing w:after="40" w:line="264" w:lineRule="auto"/>
        <w:ind w:left="360" w:hanging="360"/>
      </w:pPr>
      <w:r>
        <w:rPr>
          <w:rFonts w:ascii="Times New Roman" w:hAnsi="Times New Roman" w:cs="Times New Roman" w:eastAsia="Times New Roman"/>
          <w:b/>
          <w:i w:val="0"/>
          <w:sz w:val="20"/>
        </w:rPr>
        <w:t xml:space="preserve">Attachment 2 — Tier Snapshot  </w:t>
      </w:r>
      <w:r>
        <w:rPr>
          <w:rFonts w:ascii="Times New Roman" w:hAnsi="Times New Roman" w:cs="Times New Roman" w:eastAsia="Times New Roman"/>
          <w:b w:val="0"/>
          <w:i/>
          <w:color w:val="555555"/>
          <w:sz w:val="20"/>
        </w:rPr>
        <w:t xml:space="preserve">(Attachment_2_Tier_Snapshot.png) — </w:t>
      </w:r>
      <w:r>
        <w:rPr>
          <w:rFonts w:ascii="Times New Roman" w:hAnsi="Times New Roman" w:cs="Times New Roman" w:eastAsia="Times New Roman"/>
          <w:b w:val="0"/>
          <w:i w:val="0"/>
          <w:sz w:val="20"/>
        </w:rPr>
        <w:t>Mean month-12 behavior by predicted tier (churn_prob, data_gb, monthly_charge, tickets, logins). Used in Section 7.</w:t>
      </w:r>
    </w:p>
    <w:p>
      <w:pPr>
        <w:spacing w:after="40" w:line="264" w:lineRule="auto"/>
        <w:ind w:left="360" w:hanging="360"/>
      </w:pPr>
      <w:r>
        <w:rPr>
          <w:rFonts w:ascii="Times New Roman" w:hAnsi="Times New Roman" w:cs="Times New Roman" w:eastAsia="Times New Roman"/>
          <w:b/>
          <w:i w:val="0"/>
          <w:sz w:val="20"/>
        </w:rPr>
        <w:t xml:space="preserve">Attachment 3 — Cohort Trend  </w:t>
      </w:r>
      <w:r>
        <w:rPr>
          <w:rFonts w:ascii="Times New Roman" w:hAnsi="Times New Roman" w:cs="Times New Roman" w:eastAsia="Times New Roman"/>
          <w:b w:val="0"/>
          <w:i/>
          <w:color w:val="555555"/>
          <w:sz w:val="20"/>
        </w:rPr>
        <w:t xml:space="preserve">(Attachment_3_Cohort_Trend.png) — </w:t>
      </w:r>
      <w:r>
        <w:rPr>
          <w:rFonts w:ascii="Times New Roman" w:hAnsi="Times New Roman" w:cs="Times New Roman" w:eastAsia="Times New Roman"/>
          <w:b w:val="0"/>
          <w:i w:val="0"/>
          <w:sz w:val="20"/>
        </w:rPr>
        <w:t>Average data_gb by month for the High-risk and Low-risk cohorts; the gap opens around month 7. Used in Section 10.</w:t>
      </w:r>
    </w:p>
    <w:p>
      <w:pPr>
        <w:spacing w:after="40" w:line="264" w:lineRule="auto"/>
        <w:ind w:left="360" w:hanging="360"/>
      </w:pPr>
      <w:r>
        <w:rPr>
          <w:rFonts w:ascii="Times New Roman" w:hAnsi="Times New Roman" w:cs="Times New Roman" w:eastAsia="Times New Roman"/>
          <w:b/>
          <w:i w:val="0"/>
          <w:sz w:val="20"/>
        </w:rPr>
        <w:t xml:space="preserve">Attachment 4 — Low-Risk Customer Deep Dive  </w:t>
      </w:r>
      <w:r>
        <w:rPr>
          <w:rFonts w:ascii="Times New Roman" w:hAnsi="Times New Roman" w:cs="Times New Roman" w:eastAsia="Times New Roman"/>
          <w:b w:val="0"/>
          <w:i/>
          <w:color w:val="555555"/>
          <w:sz w:val="20"/>
        </w:rPr>
        <w:t xml:space="preserve">(Attachment_4_LowRisk_Customer.png) — </w:t>
      </w:r>
      <w:r>
        <w:rPr>
          <w:rFonts w:ascii="Times New Roman" w:hAnsi="Times New Roman" w:cs="Times New Roman" w:eastAsia="Times New Roman"/>
          <w:b w:val="0"/>
          <w:i w:val="0"/>
          <w:sz w:val="20"/>
        </w:rPr>
        <w:t>12-month trajectory, attention map, and risk gauge for a Low-risk account (predicted 28.6 %). Used in Section 10.</w:t>
      </w:r>
    </w:p>
    <w:p>
      <w:pPr>
        <w:spacing w:after="40" w:line="264" w:lineRule="auto"/>
        <w:ind w:left="360" w:hanging="360"/>
      </w:pPr>
      <w:r>
        <w:rPr>
          <w:rFonts w:ascii="Times New Roman" w:hAnsi="Times New Roman" w:cs="Times New Roman" w:eastAsia="Times New Roman"/>
          <w:b/>
          <w:i w:val="0"/>
          <w:sz w:val="20"/>
        </w:rPr>
        <w:t xml:space="preserve">Attachment 5 — High-Risk Customer 0982-QHUUQ  </w:t>
      </w:r>
      <w:r>
        <w:rPr>
          <w:rFonts w:ascii="Times New Roman" w:hAnsi="Times New Roman" w:cs="Times New Roman" w:eastAsia="Times New Roman"/>
          <w:b w:val="0"/>
          <w:i/>
          <w:color w:val="555555"/>
          <w:sz w:val="20"/>
        </w:rPr>
        <w:t xml:space="preserve">(Attachment_5_HighRisk_0982-QHUUQ.png) — </w:t>
      </w:r>
      <w:r>
        <w:rPr>
          <w:rFonts w:ascii="Times New Roman" w:hAnsi="Times New Roman" w:cs="Times New Roman" w:eastAsia="Times New Roman"/>
          <w:b w:val="0"/>
          <w:i w:val="0"/>
          <w:sz w:val="20"/>
        </w:rPr>
        <w:t>12-month trajectory, attention map, and risk gauge for customer 0982-QHUUQ (predicted 99.6 %, true label CHURNED). Used in Section 10.</w:t>
      </w:r>
    </w:p>
    <w:p>
      <w:pPr>
        <w:keepNext/>
        <w:spacing w:before="160" w:after="40"/>
      </w:pPr>
      <w:r>
        <w:rPr>
          <w:rFonts w:ascii="Times New Roman" w:hAnsi="Times New Roman" w:cs="Times New Roman" w:eastAsia="Times New Roman"/>
          <w:b/>
          <w:i w:val="0"/>
          <w:color w:val="1F1F1F"/>
          <w:sz w:val="24"/>
        </w:rPr>
        <w:t>13. References</w:t>
      </w:r>
    </w:p>
    <w:p>
      <w:pPr>
        <w:spacing w:after="40" w:line="264" w:lineRule="auto"/>
        <w:ind w:left="360" w:hanging="360"/>
      </w:pPr>
      <w:r>
        <w:rPr>
          <w:rFonts w:ascii="Times New Roman" w:hAnsi="Times New Roman" w:cs="Times New Roman" w:eastAsia="Times New Roman"/>
          <w:b w:val="0"/>
          <w:i w:val="0"/>
          <w:sz w:val="20"/>
        </w:rPr>
        <w:t>[1] F. F. Reichheld and W. E. Sasser, “Zero Defections: Quality Comes to Services,” Harvard Business Review, vol. 68, no. 5, pp. 105–111, 1990.</w:t>
      </w:r>
    </w:p>
    <w:p>
      <w:pPr>
        <w:spacing w:after="40" w:line="264" w:lineRule="auto"/>
        <w:ind w:left="360" w:hanging="360"/>
      </w:pPr>
      <w:r>
        <w:rPr>
          <w:rFonts w:ascii="Times New Roman" w:hAnsi="Times New Roman" w:cs="Times New Roman" w:eastAsia="Times New Roman"/>
          <w:b w:val="0"/>
          <w:i w:val="0"/>
          <w:sz w:val="20"/>
        </w:rPr>
        <w:t>[2] McKinsey &amp; Company, “Reducing customer churn in the telecommunications industry,” McKinsey Insights, 2023.</w:t>
      </w:r>
    </w:p>
    <w:p>
      <w:pPr>
        <w:spacing w:after="40" w:line="264" w:lineRule="auto"/>
        <w:ind w:left="360" w:hanging="360"/>
      </w:pPr>
      <w:r>
        <w:rPr>
          <w:rFonts w:ascii="Times New Roman" w:hAnsi="Times New Roman" w:cs="Times New Roman" w:eastAsia="Times New Roman"/>
          <w:b w:val="0"/>
          <w:i w:val="0"/>
          <w:sz w:val="20"/>
        </w:rPr>
        <w:t>[3] V. Chouhan, R. Sharma, and A. Verma, “Customer Churn Prediction in Telecom Using Deep Learning: A Survey,” IEEE Access, vol. 11, pp. 76341–76358, 2023.</w:t>
      </w:r>
    </w:p>
    <w:p>
      <w:pPr>
        <w:spacing w:after="40" w:line="264" w:lineRule="auto"/>
        <w:ind w:left="360" w:hanging="360"/>
      </w:pPr>
      <w:r>
        <w:rPr>
          <w:rFonts w:ascii="Times New Roman" w:hAnsi="Times New Roman" w:cs="Times New Roman" w:eastAsia="Times New Roman"/>
          <w:b w:val="0"/>
          <w:i w:val="0"/>
          <w:sz w:val="20"/>
        </w:rPr>
        <w:t>[4] L. Zhao and Y. Wang, “A Temporal Attention LSTM Model for Telecom Customer Churn,” Expert Systems with Applications, vol. 213, art. 118921, 2023.</w:t>
      </w:r>
    </w:p>
    <w:p>
      <w:pPr>
        <w:spacing w:after="40" w:line="264" w:lineRule="auto"/>
        <w:ind w:left="360" w:hanging="360"/>
      </w:pPr>
      <w:r>
        <w:rPr>
          <w:rFonts w:ascii="Times New Roman" w:hAnsi="Times New Roman" w:cs="Times New Roman" w:eastAsia="Times New Roman"/>
          <w:b w:val="0"/>
          <w:i w:val="0"/>
          <w:sz w:val="20"/>
        </w:rPr>
        <w:t>[5] B. Lim, S. Ö. Arık, N. Loeff, and T. Pfister, “Temporal Fusion Transformers for Interpretable Multi-Horizon Time Series Forecasting,” International Journal of Forecasting, vol. 37, no. 4, pp. 1748–1764, 2021.</w:t>
      </w:r>
    </w:p>
    <w:p>
      <w:pPr>
        <w:spacing w:after="40" w:line="264" w:lineRule="auto"/>
        <w:ind w:left="360" w:hanging="360"/>
      </w:pPr>
      <w:r>
        <w:rPr>
          <w:rFonts w:ascii="Times New Roman" w:hAnsi="Times New Roman" w:cs="Times New Roman" w:eastAsia="Times New Roman"/>
          <w:b w:val="0"/>
          <w:i w:val="0"/>
          <w:sz w:val="20"/>
        </w:rPr>
        <w:t>[6] P. Lewis et al., “Retrieval-Augmented Generation for Knowledge-Intensive NLP Tasks,” in Advances in Neural Information Processing Systems (NeurIPS), 2020.</w:t>
      </w:r>
    </w:p>
    <w:p>
      <w:pPr>
        <w:spacing w:after="40" w:line="264" w:lineRule="auto"/>
        <w:ind w:left="360" w:hanging="360"/>
      </w:pPr>
      <w:r>
        <w:rPr>
          <w:rFonts w:ascii="Times New Roman" w:hAnsi="Times New Roman" w:cs="Times New Roman" w:eastAsia="Times New Roman"/>
          <w:b w:val="0"/>
          <w:i w:val="0"/>
          <w:sz w:val="20"/>
        </w:rPr>
        <w:t>[7] blastchar, “Telco Customer Churn Dataset,” Kaggle, 2018. https://www.kaggle.com/datasets/blastchar/telco-customer-churn.</w:t>
      </w:r>
    </w:p>
    <w:p>
      <w:pPr>
        <w:spacing w:after="40" w:line="264" w:lineRule="auto"/>
        <w:ind w:left="360" w:hanging="360"/>
      </w:pPr>
      <w:r>
        <w:rPr>
          <w:rFonts w:ascii="Times New Roman" w:hAnsi="Times New Roman" w:cs="Times New Roman" w:eastAsia="Times New Roman"/>
          <w:b w:val="0"/>
          <w:i w:val="0"/>
          <w:sz w:val="20"/>
        </w:rPr>
        <w:t>[8] A. Vaswani et al., “Attention Is All You Need,” in Advances in Neural Information Processing Systems (NeurIPS), 2017.</w:t>
      </w:r>
    </w:p>
    <w:p>
      <w:pPr>
        <w:spacing w:after="40" w:line="264" w:lineRule="auto"/>
        <w:ind w:left="360" w:hanging="360"/>
      </w:pPr>
      <w:r>
        <w:rPr>
          <w:rFonts w:ascii="Times New Roman" w:hAnsi="Times New Roman" w:cs="Times New Roman" w:eastAsia="Times New Roman"/>
          <w:b w:val="0"/>
          <w:i w:val="0"/>
          <w:sz w:val="20"/>
        </w:rPr>
        <w:t>[9] Y. LeCun, Y. Bengio, and G. Hinton, “Deep Learning,” Nature, vol. 521, pp. 436–444, 2015.</w:t>
      </w:r>
    </w:p>
    <w:sectPr w:rsidR="00FC693F" w:rsidRPr="0006063C"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