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0"/>
          <w:szCs w:val="40"/>
        </w:rPr>
        <w:t xml:space="preserve">Peak Memory — Methods and Results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 cross-tissue meta-analysis of epigenetic injury/inflammation memory, its conserved AP-1 regulatory program, and its fate in aging and cancer.</w:t>
      </w:r>
    </w:p>
    <w:p>
      <w:pPr>
        <w:spacing w:after="200"/>
      </w:pPr>
      <w:r>
        <w:rPr>
          <w:sz w:val="20"/>
          <w:szCs w:val="20"/>
        </w:rPr>
        <w:t xml:space="preserve">Sampoorn Pandey</w:t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140" w:line="276"/>
      </w:pPr>
      <w:r>
        <w:t xml:space="preserve">Inflammation and injury leave a chromatin memory: ATAC-seq peaks that open during a perturbation and remain accessible after it resolves. We re-derived memory peaks identically in four independent mouse ATAC-seq datasets and asked whether the memory converges across tissues, what its core regulatory unit is, and what becomes of it in aging and cancer.</w:t>
      </w:r>
    </w:p>
    <w:p>
      <w:pPr>
        <w:spacing w:after="140" w:line="276"/>
      </w:pPr>
      <w:r>
        <w:t xml:space="preserve">The exact memory coordinates do not overlap across tissues (0 of ~10,600 union regions shared by all four), and the modest gene-level overlap is fully explained by shared chromatin accessibility (≤1× over an accessibility-matched null). What is convergent is the transcription-factor program: an AP-1 / KLF / TEAD / CTCF motif signature shared ~10× more than chance (z ≈ 25, p &lt; 5×10⁻⁵). Distilling memory peaks in epidermal stem cells to PAME — Primed AP-1 Memory Enhancers (memory ∩ AP-1 motif ∩ AP-1 binding ∩ H3K27ac; 209 regions / 202 genes) yields elements that sit on the cell-adhesion / junction / cytoskeleton (EMT/invasion) machinery. In aging these enhancers are relatively protected from the genome-wide accessibility decline (directionally specific but a weak effect at the animal level), and in cancer a 14-gene AP-1 signature is prognostic in TCGA-HNSC (HR ≈ 1.50, Cox p = 0.014).</w:t>
      </w:r>
    </w:p>
    <w:p>
      <w:pPr>
        <w:pStyle w:val="Heading1"/>
      </w:pPr>
      <w:r>
        <w:t xml:space="preserve">1. Methods</w:t>
      </w:r>
    </w:p>
    <w:p>
      <w:pPr>
        <w:pStyle w:val="Heading2"/>
      </w:pPr>
      <w:r>
        <w:t xml:space="preserve">1.1 Datasets</w:t>
      </w:r>
    </w:p>
    <w:p>
      <w:pPr>
        <w:spacing w:after="140" w:line="276"/>
      </w:pPr>
      <w:r>
        <w:t xml:space="preserve">All mouse analyses use genome build mm10; the human cancer arm uses hg38 (PAME peaks lifted mm10 → hg38). Mouse → human gene mapping uses orthology (mousipy, HGNC/HCOP/BioMart). This is a meta-analysis of published, processed data; no primary sequencing was generated. The full accession manifest is in DATA.md.</w:t>
      </w:r>
    </w:p>
    <w:p>
      <w:pPr>
        <w:spacing w:after="140" w:line="276"/>
      </w:pPr>
      <w:r>
        <w:t xml:space="preserve">Memory-peak discovery (mouse ATAC-seq):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60"/>
        <w:gridCol w:w="2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Short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Tissue /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Control → perturbation → memory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GSM5229061–68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Imiquimod psoriasiform skin inflammation; epidermal stem cells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D6/D30 Ctrl → D6 IMQ → D30 post-inflammation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HFSC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GSE165312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Hair-follicle stem cells, Dremel skin wound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Ctrl_D80 → Dremel_D3/D7 → Dremel_D80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GSE221408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Distal (unwounded) wound-memory epidermis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per-condition IDR conservative narrowPeak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pancreas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(pancreas injury)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Pancreatic epithelium injury/recovery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CTRL → Day1/Day7 → Day28</w:t>
            </w:r>
          </w:p>
        </w:tc>
      </w:tr>
    </w:tbl>
    <w:p>
      <w:pPr>
        <w:spacing w:after="140" w:before="80" w:line="276"/>
      </w:pPr>
      <w:r>
        <w:t xml:space="preserve">Supporting tracks for PAME: mouse keratinocyte H3K27ac ChIP-seq (GSE86900, MK1/MK2, build confirmed mm10); UniBind robust AP-1 TFBS (mm10); HOMER vertebrate motif PWMs; UCSC/HOMER mm10 TSS and chrom-size references.</w:t>
      </w:r>
    </w:p>
    <w:p>
      <w:pPr>
        <w:spacing w:after="140" w:line="276"/>
      </w:pPr>
      <w:r>
        <w:t xml:space="preserve">Aging: mouse aging single-nucleus ATAC atlas GSE288730 (Lu, Zhou &amp; Cao 2025), skin matrix subset to interfollicular epidermal basal cells → 11,326 nuclei × 1,341,077 peaks, mm10, three ages.</w:t>
      </w:r>
    </w:p>
    <w:p>
      <w:pPr>
        <w:spacing w:after="140" w:line="276"/>
      </w:pPr>
      <w:r>
        <w:t xml:space="preserve">Cancer / pre-cancer: human normal → actinic keratosis (AK) → cSCC ATAC-seq GSE277274; TCGA-HNSC RNA-seq (STAR counts) + clinical from the GDC.</w:t>
      </w:r>
    </w:p>
    <w:p>
      <w:pPr>
        <w:pStyle w:val="Heading2"/>
      </w:pPr>
      <w:r>
        <w:t xml:space="preserve">1.2 Memory-peak discovery pipeline</w:t>
      </w:r>
    </w:p>
    <w:p>
      <w:pPr>
        <w:spacing w:after="140" w:line="276"/>
      </w:pPr>
      <w:r>
        <w:t xml:space="preserve">The pipeline (src/01_memory_pipeline/) operates on BED interval coordinates only — no BAM files, read counts, signal, fold-changes, or p-values — so a memory peak is defined purely by reproducible presence/absence across conditions. For each dataset: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+ internal merge of every input peak file (control, perturbation replicates, memory).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 = peaks reproducibly present across all perturbation replicates. Four variants by overlap rule (50% vs 75% reciprocal-fraction; Single vs Reciprocal). Primary set: 50_Single.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candidates = consensus perturbation peaks also open in the memory state.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Strict control filtering = any memory candidate overlapping any control peak by ≥1 bp is removed entirely (keep only regions closed at baseline, opened on perturbation, and held open). Survivors = StrictMemory peaks.</w:t>
      </w:r>
    </w:p>
    <w:p>
      <w:pPr>
        <w:pStyle w:val="Heading2"/>
      </w:pPr>
      <w:r>
        <w:t xml:space="preserve">1.3 Cross-dataset convergence and permutation nulls</w:t>
      </w:r>
    </w:p>
    <w:p>
      <w:pPr>
        <w:spacing w:after="140" w:line="276"/>
      </w:pPr>
      <w:r>
        <w:t xml:space="preserve">Convergence (src/02_cross_dataset/) was tested at three levels on the StrictMemory50_Single sets: (i) coordinates — peaks merged into a union, a region is shared if every member dataset overlaps it (≥1 bp); (ii) genes — nearest-TSS annotation with HOMER mm10, isoforms collapsed to gene loci, no distance cut-off; (iii) TF motifs — HOMER known-motif enrichment (findMotifsGenome.pl -size 200, GC-matched background), enriched TF = Benjamini q &lt; 0.05, motifs collapsed to TF name.</w:t>
      </w:r>
    </w:p>
    <w:p>
      <w:pPr>
        <w:spacing w:after="140" w:line="276"/>
      </w:pPr>
      <w:r>
        <w:t xml:space="preserve">Significance of four-way overlaps was assessed by permutation nulls (null_test.py): for genes, (A) resampling from the accessible-gene background and (B) genomic peak-shuffle with re-annotation; for TF motifs, resampling from the tested-motif universe (N = 20,000 permutations). The whole-genome null is reported only to show why it is inappropriate here.</w:t>
      </w:r>
    </w:p>
    <w:p>
      <w:pPr>
        <w:pStyle w:val="Heading2"/>
      </w:pPr>
      <w:r>
        <w:t xml:space="preserve">1.4 PAME construction (epidermal stem cells, IMQ)</w:t>
      </w:r>
    </w:p>
    <w:p>
      <w:pPr>
        <w:spacing w:after="140" w:line="276"/>
      </w:pPr>
      <w:r>
        <w:t xml:space="preserve">Starting from the 2,325 IMQ StrictMemory50_Single peaks (src/03_pame/):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 AP-1 motif — HOMER AP-1(bZIP) PWM present in the peak → 656 regions.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 AP-1 binding (Set B) — overlaps a UniBind robust AP-1 ChIP TFBS → 467 regions.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 active enhancer (Set A / PAME) — mean H3K27ac over the region ≥ 95th percentile of 2,000 random regions (threshold 1.059), read from the GSE86900 bigWig → 209 regions.</w:t>
      </w:r>
    </w:p>
    <w:p>
      <w:pPr>
        <w:spacing w:after="140" w:before="80" w:line="276"/>
      </w:pPr>
      <w:r>
        <w:t xml:space="preserve">The 258 Set B regions not in Set A are poised/primed-only (memory + AP-1 motif + AP-1 bound but H3K27ac-low). Set A regions were annotated to nearest TSS; GO/pathway enrichment via HOMER annotatePeaks.pl / findGO.pl (mouse).</w:t>
      </w:r>
    </w:p>
    <w:p>
      <w:pPr>
        <w:pStyle w:val="Heading2"/>
      </w:pPr>
      <w:r>
        <w:t xml:space="preserve">1.5 Aging analysis</w:t>
      </w:r>
    </w:p>
    <w:p>
      <w:pPr>
        <w:spacing w:after="140" w:line="276"/>
      </w:pPr>
      <w:r>
        <w:t xml:space="preserve">Set A/B and the AP-1-bound regions were intersected with the GSE288730 epidermal-basal-cell atlas (src/04_aging/). Because single-cell ATAC has many non-independent cells per animal, the primary test was pseudobulk / sample-level (animal as the experimental unit) with an accessibility-matched permutation null; per-cell tests are reported alongside but treated as anti-conservative (pseudoreplication). Three analyses: pseudobulk log2(Aged/Young), a Mann-Whitney rank-skew of per-peak log2FC (set vs rest), and per-cell Set-A enrichment by age, plus the animal-level Young-vs-Aged comparison.</w:t>
      </w:r>
    </w:p>
    <w:p>
      <w:pPr>
        <w:pStyle w:val="Heading2"/>
      </w:pPr>
      <w:r>
        <w:t xml:space="preserve">1.6 Cancer / pre-cancer</w:t>
      </w:r>
    </w:p>
    <w:p>
      <w:pPr>
        <w:spacing w:after="140" w:line="276"/>
      </w:pPr>
      <w:r>
        <w:t xml:space="preserve">PAME peaks were lifted mm10 → hg38 with pyliftover (UCSC chain), retaining uniquely-mapped regions (src/05_cancer_precancer/). The 202 mouse PAME genes mapped to human orthologs (mousipy) → a 183-gene human PAME signature. For TCGA-HNSC (src/06_tcga_survival/), STAR counts were filtered (zero-count and low-expression genes removed) and converted to log-CPM; per-gene Cox and Kaplan-Meier tests were run, and signature module scores (mean z-scored expression) were tested with a Cox model on overall survival. The pre-cancer GSE277274 quantification (lifted PAME regions over normal/AK/cSCC ATAC bigWigs) is set up in quantify_atac.py.</w:t>
      </w:r>
    </w:p>
    <w:p>
      <w:pPr>
        <w:pStyle w:val="Heading1"/>
      </w:pPr>
      <w:r>
        <w:t xml:space="preserve">2. Results</w:t>
      </w:r>
    </w:p>
    <w:p>
      <w:pPr>
        <w:pStyle w:val="Heading2"/>
      </w:pPr>
      <w:r>
        <w:t xml:space="preserve">2.1 Memory peaks are recovered in all four tissues</w:t>
      </w:r>
    </w:p>
    <w:p>
      <w:pPr>
        <w:spacing w:after="140" w:line="276"/>
      </w:pPr>
      <w:r>
        <w:t xml:space="preserve">The strict pipeline yields a few thousand high-confidence memory peaks per dataset (StrictMemory50_Single):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Candidates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Removed by control 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StrictMemory peaks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76,544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74,219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2,325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HFSC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20,674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18,467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2,207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27,686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24,590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3,096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pancreas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46,787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43,526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3,261</w:t>
            </w:r>
          </w:p>
        </w:tc>
      </w:tr>
    </w:tbl>
    <w:p>
      <w:pPr>
        <w:spacing w:after="140" w:before="80" w:line="276"/>
      </w:pPr>
      <w:r>
        <w:t xml:space="preserve">The strict control filter is aggressive (&gt;90% of candidates removed in skin), leaving only regions genuinely closed at baseline and open after the perturbation resolved.</w:t>
      </w:r>
    </w:p>
    <w:p>
      <w:pPr>
        <w:pStyle w:val="Heading2"/>
      </w:pPr>
      <w:r>
        <w:t xml:space="preserve">2.2 Memory coordinates do not overlap across tissues</w:t>
      </w:r>
    </w:p>
    <w:p>
      <w:pPr>
        <w:spacing w:after="140" w:line="276"/>
      </w:pPr>
      <w:r>
        <w:t xml:space="preserve">Merging all four StrictMemory sets gives a union of 10,604 regions. No region is shared by all four datasets, and three-way sharing is essentially nil (best three-way = 3 regions). The strongest pairwise overlap is HFSC ∩ distil = 149 regions — both skin, as expected.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Combination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Shared regions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HFSC ∩ distil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 ∩ distil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distil ∩ pancreas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 ∩ pancreas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HFSC ∩ pancreas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 ∩ HFSC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HFSC ∩ distil ∩ pancreas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IMQ ∩ distil ∩ pancreas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four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pStyle w:val="Heading2"/>
      </w:pPr>
      <w:r>
        <w:t xml:space="preserve">2.3 Gene overlap is real but explained by shared accessibility</w:t>
      </w:r>
    </w:p>
    <w:p>
      <w:pPr>
        <w:spacing w:after="140" w:line="276"/>
      </w:pPr>
      <w:r>
        <w:t xml:space="preserve">Annotating to nearest TSS, the four sets hit 2,055 (IMQ), 1,983 (HFSC), 2,522 (distil) and 2,615 (pancreas) gene loci, with 64 genes shared by all four. Against a naïve whole-genome null that looks ~37× enriched — but that null is wrong. With the correct accessible-gene background the observed 64 is below expectation: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900"/>
        <w:gridCol w:w="800"/>
        <w:gridCol w:w="800"/>
        <w:gridCol w:w="13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Null 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four-way genes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— accessible-gene background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84.5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0.995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— peak-shuffle + re-annotate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149.5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~1.0</w:t>
            </w:r>
          </w:p>
        </w:tc>
      </w:tr>
    </w:tbl>
    <w:p>
      <w:pPr>
        <w:spacing w:after="140" w:before="80" w:line="276"/>
      </w:pPr>
      <w:r>
        <w:t xml:space="preserve">All six pairwise gene overlaps are likewise at or below their accessible-background expectation (≈0.5–0.7×). The apparent gene convergence is an artifact of all four datasets sampling from the same accessible-gene pool — not a shared memory-gene program.</w:t>
      </w:r>
    </w:p>
    <w:p>
      <w:pPr>
        <w:pStyle w:val="Heading2"/>
      </w:pPr>
      <w:r>
        <w:t xml:space="preserve">2.4 The transcription-factor program is convergent (~10× over chance)</w:t>
      </w:r>
    </w:p>
    <w:p>
      <w:pPr>
        <w:spacing w:after="140" w:line="276"/>
      </w:pPr>
      <w:r>
        <w:t xml:space="preserve">HOMER motif enrichment gives 149 (IMQ), 141 (HFSC), 167 (distil) and 174 (pancreas) enriched TFs (q &lt; 0.05). 68 TFs are enriched in all four datasets — and here the convergence is genuine: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1900"/>
        <w:gridCol w:w="700"/>
        <w:gridCol w:w="700"/>
        <w:gridCol w:w="1000"/>
      </w:tblGrid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Null 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four-way TFs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Resample from tested-motif universe (450 TFs; N = 20,000)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5×10⁻⁵</w:t>
            </w:r>
          </w:p>
        </w:tc>
      </w:tr>
    </w:tbl>
    <w:p>
      <w:pPr>
        <w:spacing w:after="140" w:before="80" w:line="276"/>
      </w:pPr>
      <w:r>
        <w:t xml:space="preserve">The shared program is dominated by AP-1 (Fos/Jun/Fosl/Atf/BATF/Fra), KLF (KLF1/3/4/5/6), TEAD (TEAD1–4) and CTCF, plus p53/p63/p73 and Sp1/2. The four-way set was never approached in 20,000 permutations. (Caveat: motifs within a family are correlated, so this null is anti-conservative — treat p as an upper bound; the z ≈ 25 margin keeps the conclusion robust.) The three-way skin overlap is even tighter at 86 shared TFs.</w:t>
      </w:r>
    </w:p>
    <w:p>
      <w:pPr>
        <w:spacing w:after="140" w:line="276"/>
      </w:pPr>
      <w:r>
        <w:t xml:space="preserve">Central claim: injury/inflammation memory converges at the trans-regulatory (TF) level — a conserved AP-1/KLF/TEAD/CTCF enhancer-memory program — implemented through largely dataset-specific cis-elements and target genes.</w:t>
      </w:r>
    </w:p>
    <w:p>
      <w:pPr>
        <w:pStyle w:val="Heading2"/>
      </w:pPr>
      <w:r>
        <w:t xml:space="preserve">2.5 PAME: distilling memory to active AP-1 enhancers</w:t>
      </w:r>
    </w:p>
    <w:p>
      <w:pPr>
        <w:spacing w:after="140" w:line="276"/>
      </w:pPr>
      <w:r>
        <w:t xml:space="preserve">In epidermal stem cells the memory peaks funnel cleanly to an active AP-1 compartment: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600"/>
        <w:gridCol w:w="20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Regions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Memory (StrictMemory50_Single)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retained-accessible after perturbation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2,325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 AP-1 motif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HOMER AP-1(bZIP) PWM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B + AP-1 binding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overlaps UniBind AP-1 TFBS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467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 / PAME + H3K27ac active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enhancer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</w:tr>
    </w:tbl>
    <w:p>
      <w:pPr>
        <w:spacing w:after="140" w:before="80" w:line="276"/>
      </w:pPr>
      <w:r>
        <w:t xml:space="preserve">PAME regions are strongly enriched for active-enhancer status: 45% of AP-1-primed regions are H3K27ac-active vs 5% of random background (8.9× enrichment; hypergeometric p ≈ 10⁻⁹⁴), with median H3K27ac ~3× background in Set B. They are predominantly distal enhancers (9% promoter, 66% 2–50 kb, 14% 50–100 kb, 11% &gt;100 kb), annotating to 202 unique genes (180 within 100 kb).</w:t>
      </w:r>
    </w:p>
    <w:p>
      <w:pPr>
        <w:pStyle w:val="Heading2"/>
      </w:pPr>
      <w:r>
        <w:t xml:space="preserve">2.6 PAME genes converge on adhesion / junction / cytoskeleton (EMT/invasion)</w:t>
      </w:r>
    </w:p>
    <w:p>
      <w:pPr>
        <w:spacing w:after="140" w:line="276"/>
      </w:pPr>
      <w:r>
        <w:t xml:space="preserve">The 202 PAME genes are enriched for cell adhesion, cell junctions and the actin cytoskeleton — exactly the machinery dismantled during EMT and epithelial-cancer invasion, and AP-1 (FOS/JUN) is the canonical driver of that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1300"/>
        <w:gridCol w:w="3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Top specific term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Example genes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KEGG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Adherens junction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1.9×10⁻⁶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Ptpn6, Pard3, Wasf2, Nectin1, Sorbs1, Actn1, Lmo7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Reactome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Cell–cell communication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1.4×10⁻⁵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Col17a1, Lims1, Pard3, Nectin1, Cadm1, Ptpn6, Actn1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Reactome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Cell-junction organization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1.5×10⁻⁵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Cadm1, Nectin1, Pard3, Actn1, Col17a1, Lims1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GO-MF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actin / cytoskeletal-protein binding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1.1×10⁻⁵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Myo1d, Mrtfa, Phactr1, Arhgef7, Lmo7 (12 total)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KEGG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Axon guidance / Sema3A–Plexin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5.9×10⁻⁴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Nrp1, Plxna1, Slit3, Pard3, Gnai3</w:t>
            </w:r>
          </w:p>
        </w:tc>
      </w:tr>
    </w:tbl>
    <w:p>
      <w:pPr>
        <w:spacing w:after="140" w:before="80" w:line="276"/>
      </w:pPr>
      <w:r>
        <w:t xml:space="preserve">Notable drivers include Col17a1 (hemidesmosome collagen linking to EpdSC aging and skin SCC), the adhesion/polarity tumor suppressors Cadm1, Nectin1, Pard3, and actin/migration effectors Wasf2 (WAVE2), Lims1 (PINCH), Actn1, Mrtfa, Mical2, Arhgef7. Broad developmental GO terms also rank highly (expected for any ~200-gene set near tissue-identity genes); the specific adhesion/cytoskeleton signal is the robust, interpretable finding.</w:t>
      </w:r>
    </w:p>
    <w:p>
      <w:pPr>
        <w:pStyle w:val="Heading2"/>
      </w:pPr>
      <w:r>
        <w:t xml:space="preserve">2.7 Aging: PAME enhancers resist the genome-wide accessibility decline</w:t>
      </w:r>
    </w:p>
    <w:p>
      <w:pPr>
        <w:spacing w:after="140" w:line="276"/>
      </w:pPr>
      <w:r>
        <w:t xml:space="preserve">Across three complementary tests, PAME/AP-1-primed enhancers are skewed toward higher accessibility in older epidermal stem cells while background regions decline: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Analysis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Set A result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Pseudobulk log2(Aged/Young)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accessibility-matched permutation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+0.091 vs null −0.060, p = 5×10⁻⁴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 skew toward age-gain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Mann-Whitney, set vs rest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 0.598, p = 1.8×10⁻⁷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Per-cell Set-A enrichment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by 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2.44 → 2.91 → 2.97; KW p = 1.5×10⁻¹¹</w:t>
            </w:r>
          </w:p>
        </w:tc>
      </w:tr>
    </w:tbl>
    <w:p>
      <w:pPr>
        <w:spacing w:after="140" w:before="80" w:line="276"/>
      </w:pPr>
      <w:r>
        <w:t xml:space="preserve">The direction is specific (background loses accessibility with age, ≈ −0.06; the primed set gains, +0.06 to +0.09) and reflects a broad population shift, not a rare expanding clone. Important rigor caveat: when the animal is the experimental unit (the correct way to claim an aging effect), the increase is not significant (Young vs Aged p = 0.15; Cohen's d = 0.07 per cell) and is non-monotonic (peaks at Adult). The very small per-cell p-values are inflated by pseudoreplication. So this is a directionally consistent, region-class-specific trend, but a weak and statistically unconfirmed age effect — convincing for its consistency and direction, not its magnitude (~1.08× pseudobulk).</w:t>
      </w:r>
    </w:p>
    <w:p>
      <w:pPr>
        <w:pStyle w:val="Heading2"/>
      </w:pPr>
      <w:r>
        <w:t xml:space="preserve">2.8 Cancer: a 14-gene AP-1 signature is prognostic in TCGA-HNSC</w:t>
      </w:r>
    </w:p>
    <w:p>
      <w:pPr>
        <w:spacing w:after="140" w:line="276"/>
      </w:pPr>
      <w:r>
        <w:t xml:space="preserve">Of the 209 PAME regions, 116 (55%) lifted uniquely to hg38. The 202 mouse genes mapped to a 183-gene human signature; 114 were measurable in TCGA-HNSC. Per-gene Cox analysis found 16 genes nominally associated with overall survival (P &lt; 0.05; e.g. MSANTD3, FAM53B, PRR7, CA12, GADD45B, UBE2L3, ACTN1, MYOF), though none survive FDR correction. Tested as module scores in the TCGA-HNSC cohort (477 patients, 220 deaths):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2400"/>
        <w:gridCol w:w="900"/>
        <w:gridCol w:w="900"/>
      </w:tblGrid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Hazard ratio (95% CI)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Cox 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Log-rank p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106-gene AP-1 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(0.88–1.93)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14-gene AP-1 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 (1.09–2.08)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0.058</w:t>
            </w:r>
          </w:p>
        </w:tc>
      </w:tr>
    </w:tbl>
    <w:p>
      <w:pPr>
        <w:spacing w:after="140" w:before="80" w:line="276"/>
      </w:pPr>
      <w:r>
        <w:t xml:space="preserve">Higher activity of the focused 14-gene AP-1-primed signature predicts worse overall survival (HR ≈ 1.50, Cox p = 0.014; concordance 0.54). This provides a direct, prognostic link from the mouse injury-memory enhancers to human squamous-cancer outcome. The pre-cancer (normal → AK → cSCC) accessibility-trend test over GSE277274 is set up but exploratory (small n per state; bulk ATAC mixes tumor/stroma/immune).</w:t>
      </w:r>
    </w:p>
    <w:p>
      <w:pPr>
        <w:pStyle w:val="Heading1"/>
      </w:pPr>
      <w:r>
        <w:t xml:space="preserve">3. Limitations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Coordinate vs program. The convergent signal is at the TF-motif level; shared coordinates are ~0 and shared genes are explained by accessibility. Claims should stay at the regulatory-program level, not 'shared memory loci'.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Motif-null correlation. The 10× TF enrichment uses a null treating motifs as independent; family correlation makes it anti-conservative (upper bound on significance).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Aging effect is weak. Significant at the (pseudoreplicated) cell level but not at the animal level; only three age bins; modest effect size.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Cross-species loss. Only 116/209 PAME regions survive liftOver; the human signature drops non-conserved enhancers. The TCGA result is gene-expression-based, not chromatin-based.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FDR-significant single genes in TCGA; the signal is at the aggregate-signature 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Pre-cancer arm is exploratory (small n, bulk composition).</w:t>
      </w:r>
    </w:p>
    <w:p>
      <w:pPr>
        <w:pStyle w:val="Heading1"/>
      </w:pPr>
      <w:r>
        <w:t xml:space="preserve">4. Data and code availability</w:t>
      </w:r>
    </w:p>
    <w:p>
      <w:pPr>
        <w:spacing w:after="140" w:line="276"/>
      </w:pPr>
      <w:r>
        <w:t xml:space="preserve">All accessions are listed in DATA.md. Analysis code is in src/ (organized by stage 01_memory_pipeline → 06_tcga_survival); small final outputs and per-stage reports are in results/. Large inputs (h5ad atlas, TCGA matrices, bigWigs) are not committed and are reproducible from the manifest.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Peak Memory  ·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2026-07-03T14:04:30.988Z</dcterms:created>
  <dcterms:modified xsi:type="dcterms:W3CDTF">2026-07-03T14:04:31.015Z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