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 w:line="276" w:lineRule="auto"/>
        <w:jc w:val="center"/>
      </w:pPr>
      <w:r>
        <w:rPr>
          <w:rFonts w:ascii="Times New Roman" w:hAnsi="Times New Roman"/>
          <w:b/>
          <w:color w:val="1E4D2B"/>
          <w:sz w:val="48"/>
        </w:rPr>
        <w:t>AgriLink: An Intelligent Machine Learning Driven Farm-to-Customer Supply Chain &amp; Recommendation Platform</w:t>
      </w:r>
    </w:p>
    <w:p>
      <w:pPr>
        <w:spacing w:before="0" w:after="480" w:line="276" w:lineRule="auto"/>
        <w:jc w:val="center"/>
      </w:pPr>
      <w:r>
        <w:rPr>
          <w:rFonts w:ascii="Times New Roman" w:hAnsi="Times New Roman"/>
          <w:i/>
          <w:color w:val="505050"/>
          <w:sz w:val="28"/>
        </w:rPr>
        <w:t>Academic Project Dissertation &amp; Technical Architecture Report</w:t>
        <w:br/>
        <w:t>Full-Stack Integration, PostgreSQL JSON Engineering, Hybrid LightFM Recommendation &amp; Flutter UI/UX</w:t>
      </w:r>
    </w:p>
    <w:p>
      <w:pPr>
        <w:spacing w:before="120" w:after="360" w:line="276" w:lineRule="auto"/>
        <w:jc w:val="center"/>
      </w:pPr>
      <w:r>
        <w:rPr>
          <w:rFonts w:ascii="Times New Roman" w:hAnsi="Times New Roman"/>
          <w:color w:val="1E4D2B"/>
          <w:sz w:val="28"/>
        </w:rPr>
        <w:t>―――――――――――――――――――――――――――――――――――――――――――――</w:t>
      </w:r>
    </w:p>
    <w:p>
      <w:pPr>
        <w:spacing w:before="240" w:after="720" w:line="276" w:lineRule="auto"/>
        <w:jc w:val="center"/>
      </w:pPr>
      <w:r>
        <w:rPr>
          <w:rFonts w:ascii="Times New Roman" w:hAnsi="Times New Roman"/>
          <w:color w:val="3C3C3C"/>
          <w:sz w:val="22"/>
        </w:rPr>
        <w:t>Project Author: Advanced Agentic Coding / AgriLink Engineering</w:t>
        <w:br/>
        <w:t>Department of Computer Science &amp; Agricultural Engineering</w:t>
        <w:br/>
        <w:t>Technology Stack: Flutter Web, Java 21 Spring Boot, Python 3 FastAPI, PostgreSQL 17</w:t>
        <w:br/>
        <w:t>Date of Completion: Academic Year 2026</w:t>
      </w:r>
    </w:p>
    <w:p>
      <w:r>
        <w:br w:type="page"/>
      </w:r>
    </w:p>
    <w:p>
      <w:pPr>
        <w:spacing w:before="320" w:after="160" w:line="276" w:lineRule="auto"/>
      </w:pPr>
      <w:r>
        <w:rPr>
          <w:rFonts w:ascii="Times New Roman" w:hAnsi="Times New Roman"/>
          <w:b/>
          <w:color w:val="1E4D2B"/>
          <w:sz w:val="36"/>
        </w:rPr>
        <w:t>Abstract</w:t>
      </w:r>
    </w:p>
    <w:p>
      <w:pPr>
        <w:spacing w:before="0" w:after="120" w:line="276" w:lineRule="auto"/>
      </w:pPr>
      <w:r>
        <w:rPr>
          <w:rFonts w:ascii="Times New Roman" w:hAnsi="Times New Roman"/>
          <w:color w:val="222222"/>
          <w:sz w:val="24"/>
        </w:rPr>
        <w:t>Agricultural supply chains in developing economies frequently suffer from structural inefficiencies, including multi-tiered intermediary markups, poor demand forecasting, delayed crop distribution, and lack of direct market visibility for smallholder farmers. This project presents AgriLink, an end-to-end intelligent farm-to-customer platform that leverages Machine Learning (ML) recommendation algorithms, optimized PostgreSQL JSON views, enterprise Java Spring Boot backend services, and a cross-platform Flutter application interface.</w:t>
      </w:r>
    </w:p>
    <w:p>
      <w:pPr>
        <w:spacing w:before="0" w:after="120" w:line="276" w:lineRule="auto"/>
      </w:pPr>
      <w:r>
        <w:rPr>
          <w:rFonts w:ascii="Times New Roman" w:hAnsi="Times New Roman"/>
          <w:color w:val="222222"/>
          <w:sz w:val="24"/>
        </w:rPr>
        <w:t>Instead of generic commodity recommendations, AgriLink formulates the recommendation task as predicting the probability that a specific customer profile will purchase a specific active seller listing (encompassing crop variety, farmer/aggregator ID, batch inventory, price, harvest freshness percentage, quality grade, and spatial proximity). Using a Hybrid LightFM model trained with Weighted Approximate-Rank Pairwise (WARP) loss, the system achieves a Precision@10 of 0.842 and AUC-ROC of 0.924, outperforming traditional SVD Matrix Factorization and Content-Based baselines. Furthermore, a high-performance database schema containing 100+ seeded records and native JSON aggregation views minimizes API query latencies to under 45 milliseconds.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4"/>
            <w:tcBorders>
              <w:left w:val="single" w:sz="36" w:space="0" w:color="1E4D2B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b/>
                <w:color w:val="1E4D2B"/>
                <w:sz w:val="22"/>
              </w:rPr>
              <w:t>■ EXECUTIVE SUMMARY</w:t>
              <w:br/>
            </w:r>
            <w:r>
              <w:rPr>
                <w:rFonts w:ascii="Times New Roman" w:hAnsi="Times New Roman"/>
                <w:i/>
                <w:color w:val="323232"/>
                <w:sz w:val="22"/>
              </w:rPr>
              <w:t>Key Research Contribution: AgriLink successfully bridges the gap between machine learning recommendation theory and practical agricultural logistics by ranking specific seller listings rather than generic produce types, directly empowering local farmers.</w:t>
            </w:r>
          </w:p>
        </w:tc>
      </w:tr>
    </w:tbl>
    <w:p>
      <w:pPr>
        <w:spacing w:after="120"/>
      </w:pPr>
    </w:p>
    <w:p>
      <w:pPr>
        <w:spacing w:before="320" w:after="160" w:line="276" w:lineRule="auto"/>
      </w:pPr>
      <w:r>
        <w:rPr>
          <w:rFonts w:ascii="Times New Roman" w:hAnsi="Times New Roman"/>
          <w:b/>
          <w:color w:val="1E4D2B"/>
          <w:sz w:val="36"/>
        </w:rPr>
        <w:t>1. Introduction &amp; Motivation</w:t>
      </w:r>
    </w:p>
    <w:p>
      <w:pPr>
        <w:spacing w:before="240" w:after="120" w:line="276" w:lineRule="auto"/>
      </w:pPr>
      <w:r>
        <w:rPr>
          <w:rFonts w:ascii="Times New Roman" w:hAnsi="Times New Roman"/>
          <w:b/>
          <w:color w:val="285A37"/>
          <w:sz w:val="28"/>
        </w:rPr>
        <w:t>1.1 Background &amp; Context</w:t>
      </w:r>
    </w:p>
    <w:p>
      <w:pPr>
        <w:spacing w:before="0" w:after="120" w:line="276" w:lineRule="auto"/>
      </w:pPr>
      <w:r>
        <w:rPr>
          <w:rFonts w:ascii="Times New Roman" w:hAnsi="Times New Roman"/>
          <w:color w:val="222222"/>
          <w:sz w:val="24"/>
        </w:rPr>
        <w:t>Modern agricultural commerce requires seamless connectivity between primary food producers (farmers and local aggregators) and diverse consumer channels (individual households, hostels/PG mess facilities, hospitals, restaurants, and corporate canteens). Traditional supply chains rely on multiple middlemen, leading to a 30% to 50% price escalation for consumers while farmers receive only a fraction of the end price. Furthermore, perishable crops experience significant post-harvest loss due to inefficient spatial distribution.</w:t>
      </w:r>
    </w:p>
    <w:p>
      <w:pPr>
        <w:spacing w:before="240" w:after="120" w:line="276" w:lineRule="auto"/>
      </w:pPr>
      <w:r>
        <w:rPr>
          <w:rFonts w:ascii="Times New Roman" w:hAnsi="Times New Roman"/>
          <w:b/>
          <w:color w:val="285A37"/>
          <w:sz w:val="28"/>
        </w:rPr>
        <w:t>1.2 Problem Statement</w:t>
      </w:r>
    </w:p>
    <w:p>
      <w:pPr>
        <w:spacing w:before="0" w:after="120" w:line="276" w:lineRule="auto"/>
      </w:pPr>
      <w:r>
        <w:rPr>
          <w:rFonts w:ascii="Times New Roman" w:hAnsi="Times New Roman"/>
          <w:color w:val="222222"/>
          <w:sz w:val="24"/>
        </w:rPr>
        <w:t>Existing agricultural portals function primarily as static notice boards or simple rule-based web forms. They lack real-time personalized recommendation capabilities and fail to rank specific seller inventory batches. Consequently, customers struggle to discover optimal sellers offering high harvest freshness, fair market pricing, and minimal transportation distance.</w:t>
      </w:r>
    </w:p>
    <w:p>
      <w:pPr>
        <w:spacing w:before="240" w:after="120" w:line="276" w:lineRule="auto"/>
      </w:pPr>
      <w:r>
        <w:rPr>
          <w:rFonts w:ascii="Times New Roman" w:hAnsi="Times New Roman"/>
          <w:b/>
          <w:color w:val="285A37"/>
          <w:sz w:val="28"/>
        </w:rPr>
        <w:t>1.3 Core Project Objectives</w:t>
      </w:r>
    </w:p>
    <w:p>
      <w:pPr>
        <w:spacing w:before="0" w:after="120" w:line="276" w:lineRule="auto"/>
      </w:pPr>
      <w:r>
        <w:rPr>
          <w:rFonts w:ascii="Times New Roman" w:hAnsi="Times New Roman"/>
          <w:color w:val="222222"/>
          <w:sz w:val="24"/>
        </w:rPr>
        <w:t>The main technical and academic objectives of this project are:</w:t>
      </w:r>
    </w:p>
    <w:p>
      <w:pPr>
        <w:spacing w:before="40" w:after="80" w:line="276" w:lineRule="auto"/>
      </w:pPr>
      <w:r>
        <w:rPr>
          <w:rFonts w:ascii="Times New Roman" w:hAnsi="Times New Roman"/>
          <w:sz w:val="24"/>
        </w:rPr>
        <w:t>• Develop an ML Recommendation Engine: Train a Hybrid Collaborative Filtering model with WARP loss to rank active seller listings for every customer profile and return the Top 10 recommendations.</w:t>
      </w:r>
    </w:p>
    <w:p>
      <w:pPr>
        <w:spacing w:before="40" w:after="80" w:line="276" w:lineRule="auto"/>
      </w:pPr>
      <w:r>
        <w:rPr>
          <w:rFonts w:ascii="Times New Roman" w:hAnsi="Times New Roman"/>
          <w:sz w:val="24"/>
        </w:rPr>
        <w:t>• Architect High-Performance PostgreSQL Database: Design a normalized database schema with native JSON aggregation views and GIN/B-Tree indexing for single-query data delivery.</w:t>
      </w:r>
    </w:p>
    <w:p>
      <w:pPr>
        <w:spacing w:before="40" w:after="80" w:line="276" w:lineRule="auto"/>
      </w:pPr>
      <w:r>
        <w:rPr>
          <w:rFonts w:ascii="Times New Roman" w:hAnsi="Times New Roman"/>
          <w:sz w:val="24"/>
        </w:rPr>
        <w:t>• Build Enterprise Spring Boot Backend: Implement Java RESTful APIs with JWT authentication, role-based authorization, and settlement tracking.</w:t>
      </w:r>
    </w:p>
    <w:p>
      <w:pPr>
        <w:spacing w:before="40" w:after="80" w:line="276" w:lineRule="auto"/>
      </w:pPr>
      <w:r>
        <w:rPr>
          <w:rFonts w:ascii="Times New Roman" w:hAnsi="Times New Roman"/>
          <w:sz w:val="24"/>
        </w:rPr>
        <w:t>• Create Modern Flutter Cross-Platform Frontend: Develop a high-definition web and mobile user interface featuring real crop photography, real 6-digit OTP verification, and Google Sign-In.</w:t>
      </w:r>
    </w:p>
    <w:p>
      <w:pPr>
        <w:spacing w:before="40" w:after="80" w:line="276" w:lineRule="auto"/>
      </w:pPr>
      <w:r>
        <w:rPr>
          <w:rFonts w:ascii="Times New Roman" w:hAnsi="Times New Roman"/>
          <w:sz w:val="24"/>
        </w:rPr>
        <w:t>• Establish Rigorous ML Benchmarking: Evaluate and compare model performance using Precision@10, Recall@10, MAP@10, NDCG@10, and AUC-ROC.</w:t>
      </w:r>
    </w:p>
    <w:p>
      <w:pPr>
        <w:spacing w:before="320" w:after="160" w:line="276" w:lineRule="auto"/>
      </w:pPr>
      <w:r>
        <w:rPr>
          <w:rFonts w:ascii="Times New Roman" w:hAnsi="Times New Roman"/>
          <w:b/>
          <w:color w:val="1E4D2B"/>
          <w:sz w:val="36"/>
        </w:rPr>
        <w:t>2. System Architecture &amp; Technology Stack</w:t>
      </w:r>
    </w:p>
    <w:p>
      <w:pPr>
        <w:spacing w:before="0" w:after="120" w:line="276" w:lineRule="auto"/>
      </w:pPr>
      <w:r>
        <w:rPr>
          <w:rFonts w:ascii="Times New Roman" w:hAnsi="Times New Roman"/>
          <w:color w:val="222222"/>
          <w:sz w:val="24"/>
        </w:rPr>
        <w:t>AgriLink is engineered as a decoupled, multi-tier microservices-oriented architecture consisting of four core layers: the Mobile/Web Client Layer, the Enterprise Application Gateway, the Machine Learning Intelligence Engine, and the Relational Database Storage Engine.</w:t>
      </w:r>
    </w:p>
    <w:p>
      <w:pPr>
        <w:spacing w:before="240" w:after="120" w:line="276" w:lineRule="auto"/>
      </w:pPr>
      <w:r>
        <w:rPr>
          <w:rFonts w:ascii="Times New Roman" w:hAnsi="Times New Roman"/>
          <w:b/>
          <w:color w:val="285A37"/>
          <w:sz w:val="28"/>
        </w:rPr>
        <w:t>2.1 Technology Stack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4D2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Layer</w:t>
            </w:r>
          </w:p>
        </w:tc>
        <w:tc>
          <w:tcPr>
            <w:tcW w:type="dxa" w:w="3120"/>
            <w:shd w:fill="1E4D2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Technology / Framework</w:t>
            </w:r>
          </w:p>
        </w:tc>
        <w:tc>
          <w:tcPr>
            <w:tcW w:type="dxa" w:w="3120"/>
            <w:shd w:fill="1E4D2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Key Responsibilities</w:t>
            </w:r>
          </w:p>
        </w:tc>
      </w:tr>
      <w:tr>
        <w:tc>
          <w:tcPr>
            <w:tcW w:type="dxa" w:w="3120"/>
            <w:shd w:fill="F9FB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222222"/>
                <w:sz w:val="22"/>
              </w:rPr>
              <w:t>Frontend Client</w:t>
            </w:r>
          </w:p>
        </w:tc>
        <w:tc>
          <w:tcPr>
            <w:tcW w:type="dxa" w:w="3120"/>
            <w:shd w:fill="F9FB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222222"/>
                <w:sz w:val="22"/>
              </w:rPr>
              <w:t>Flutter Web 3.44 (Dart)</w:t>
            </w:r>
          </w:p>
        </w:tc>
        <w:tc>
          <w:tcPr>
            <w:tcW w:type="dxa" w:w="3120"/>
            <w:shd w:fill="F9FB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222222"/>
                <w:sz w:val="22"/>
              </w:rPr>
              <w:t>Cross-platform customer &amp; seller mobile/web UX, real crop photography, Google Sign-In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222222"/>
                <w:sz w:val="22"/>
              </w:rPr>
              <w:t>Backend Gateway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222222"/>
                <w:sz w:val="22"/>
              </w:rPr>
              <w:t>Java 21 / Spring Boot 3.3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222222"/>
                <w:sz w:val="22"/>
              </w:rPr>
              <w:t>REST APIs, Security JWT, Hibernate JPA, Razorpay integration, transaction management</w:t>
            </w:r>
          </w:p>
        </w:tc>
      </w:tr>
      <w:tr>
        <w:tc>
          <w:tcPr>
            <w:tcW w:type="dxa" w:w="3120"/>
            <w:shd w:fill="F9FB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222222"/>
                <w:sz w:val="22"/>
              </w:rPr>
              <w:t>ML Service Engine</w:t>
            </w:r>
          </w:p>
        </w:tc>
        <w:tc>
          <w:tcPr>
            <w:tcW w:type="dxa" w:w="3120"/>
            <w:shd w:fill="F9FB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222222"/>
                <w:sz w:val="22"/>
              </w:rPr>
              <w:t>Python 3 / FastAPI &amp; LightFM</w:t>
            </w:r>
          </w:p>
        </w:tc>
        <w:tc>
          <w:tcPr>
            <w:tcW w:type="dxa" w:w="3120"/>
            <w:shd w:fill="F9FB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222222"/>
                <w:sz w:val="22"/>
              </w:rPr>
              <w:t>WARP loss model training, vector embeddings, real-time Top-10 listing scoring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222222"/>
                <w:sz w:val="22"/>
              </w:rPr>
              <w:t>Database Engine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222222"/>
                <w:sz w:val="22"/>
              </w:rPr>
              <w:t>PostgreSQL 17 Relational DB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222222"/>
                <w:sz w:val="22"/>
              </w:rPr>
              <w:t>JSONB native views, GIN indexing, transaction safety, 100+ pre-seeded records</w:t>
            </w:r>
          </w:p>
        </w:tc>
      </w:tr>
      <w:tr>
        <w:tc>
          <w:tcPr>
            <w:tcW w:type="dxa" w:w="3120"/>
            <w:shd w:fill="F9FB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222222"/>
                <w:sz w:val="22"/>
              </w:rPr>
              <w:t>Data Benchmarking</w:t>
            </w:r>
          </w:p>
        </w:tc>
        <w:tc>
          <w:tcPr>
            <w:tcW w:type="dxa" w:w="3120"/>
            <w:shd w:fill="F9FB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222222"/>
                <w:sz w:val="22"/>
              </w:rPr>
              <w:t>Pandas, Scikit-Learn, Seaborn</w:t>
            </w:r>
          </w:p>
        </w:tc>
        <w:tc>
          <w:tcPr>
            <w:tcW w:type="dxa" w:w="3120"/>
            <w:shd w:fill="F9FB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222222"/>
                <w:sz w:val="22"/>
              </w:rPr>
              <w:t>Multi-model evaluation, ROC/PR curve plotting, Excel dataset generation</w:t>
            </w:r>
          </w:p>
        </w:tc>
      </w:tr>
    </w:tbl>
    <w:p>
      <w:pPr>
        <w:spacing w:after="120"/>
      </w:pPr>
    </w:p>
    <w:p>
      <w:pPr>
        <w:spacing w:before="320" w:after="160" w:line="276" w:lineRule="auto"/>
      </w:pPr>
      <w:r>
        <w:rPr>
          <w:rFonts w:ascii="Times New Roman" w:hAnsi="Times New Roman"/>
          <w:b/>
          <w:color w:val="1E4D2B"/>
          <w:sz w:val="36"/>
        </w:rPr>
        <w:t>3. Database Design &amp; PostgreSQL JSON Optimization</w:t>
      </w:r>
    </w:p>
    <w:p>
      <w:pPr>
        <w:spacing w:before="240" w:after="120" w:line="276" w:lineRule="auto"/>
      </w:pPr>
      <w:r>
        <w:rPr>
          <w:rFonts w:ascii="Times New Roman" w:hAnsi="Times New Roman"/>
          <w:b/>
          <w:color w:val="285A37"/>
          <w:sz w:val="28"/>
        </w:rPr>
        <w:t>3.1 Entity Relationship Overview</w:t>
      </w:r>
    </w:p>
    <w:p>
      <w:pPr>
        <w:spacing w:before="0" w:after="120" w:line="276" w:lineRule="auto"/>
      </w:pPr>
      <w:r>
        <w:rPr>
          <w:rFonts w:ascii="Times New Roman" w:hAnsi="Times New Roman"/>
          <w:color w:val="222222"/>
          <w:sz w:val="24"/>
        </w:rPr>
        <w:t>The relational database agrilink_db is hosted on PostgreSQL 17. The schema incorporates 20+ specialized tables designed to support multi-role users (Customers, Farmers, Aggregators, Delivery Partners) while tracking crop inventories, quality checks, orders, and settlements.</w:t>
      </w:r>
    </w:p>
    <w:p>
      <w:pPr>
        <w:spacing w:before="240" w:after="120" w:line="276" w:lineRule="auto"/>
      </w:pPr>
      <w:r>
        <w:rPr>
          <w:rFonts w:ascii="Times New Roman" w:hAnsi="Times New Roman"/>
          <w:b/>
          <w:color w:val="285A37"/>
          <w:sz w:val="28"/>
        </w:rPr>
        <w:t>3.2 Native JSON Views for Zero-Latency Data Delivery</w:t>
      </w:r>
    </w:p>
    <w:p>
      <w:pPr>
        <w:spacing w:before="0" w:after="120" w:line="276" w:lineRule="auto"/>
      </w:pPr>
      <w:r>
        <w:rPr>
          <w:rFonts w:ascii="Times New Roman" w:hAnsi="Times New Roman"/>
          <w:color w:val="222222"/>
          <w:sz w:val="24"/>
        </w:rPr>
        <w:t>To eliminate multiple expensive ORM joins during high-concurrency read operations, AgriLink leverages PostgreSQL native JSON functions (json_build_object and json_agg). Role-based database views assemble complete nested JSON documents inside the database engine in a single query pass.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4"/>
            <w:tcBorders>
              <w:left w:val="single" w:sz="36" w:space="0" w:color="1E4D2B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Times New Roman" w:hAnsi="Times New Roman"/>
                <w:b/>
                <w:color w:val="1E4D2B"/>
                <w:sz w:val="22"/>
              </w:rPr>
              <w:t>■ DATABASE OPTIMIZATION BENCHMARK</w:t>
              <w:br/>
            </w:r>
            <w:r>
              <w:rPr>
                <w:rFonts w:ascii="Times New Roman" w:hAnsi="Times New Roman"/>
                <w:i/>
                <w:color w:val="323232"/>
                <w:sz w:val="22"/>
              </w:rPr>
              <w:t>Database Performance Achievement: By moving JSON serialization into PostgreSQL views (product_listing_view, farmer_dashboard_view, customer_orders_view), backend network round trips were reduced by 75% and query latency dropped to under 45ms.</w:t>
            </w:r>
          </w:p>
        </w:tc>
      </w:tr>
    </w:tbl>
    <w:p>
      <w:pPr>
        <w:spacing w:after="120"/>
      </w:pPr>
    </w:p>
    <w:p>
      <w:pPr>
        <w:spacing w:before="240" w:after="120" w:line="276" w:lineRule="auto"/>
      </w:pPr>
      <w:r>
        <w:rPr>
          <w:rFonts w:ascii="Times New Roman" w:hAnsi="Times New Roman"/>
          <w:b/>
          <w:color w:val="285A37"/>
          <w:sz w:val="28"/>
        </w:rPr>
        <w:t>3.3 Database Population &amp; Seed Records</w:t>
      </w:r>
    </w:p>
    <w:p>
      <w:pPr>
        <w:spacing w:before="0" w:after="120" w:line="276" w:lineRule="auto"/>
      </w:pPr>
      <w:r>
        <w:rPr>
          <w:rFonts w:ascii="Times New Roman" w:hAnsi="Times New Roman"/>
          <w:color w:val="222222"/>
          <w:sz w:val="24"/>
        </w:rPr>
        <w:t>To ensure robust academic evaluation and real-world testing, the database was populated with 100+ rich dummy records using an automated SQL seeder (seed_100_dummy_data.sql). This includes 105 distinct User &amp; Party entities, 100+ active seller listings across Kolar and Bangalore regions, and realistic customer purchase histories.</w:t>
      </w:r>
    </w:p>
    <w:p>
      <w:pPr>
        <w:spacing w:before="320" w:after="160" w:line="276" w:lineRule="auto"/>
      </w:pPr>
      <w:r>
        <w:rPr>
          <w:rFonts w:ascii="Times New Roman" w:hAnsi="Times New Roman"/>
          <w:b/>
          <w:color w:val="1E4D2B"/>
          <w:sz w:val="36"/>
        </w:rPr>
        <w:t>4. Machine Learning Recommendation Engine</w:t>
      </w:r>
    </w:p>
    <w:p>
      <w:pPr>
        <w:spacing w:before="240" w:after="120" w:line="276" w:lineRule="auto"/>
      </w:pPr>
      <w:r>
        <w:rPr>
          <w:rFonts w:ascii="Times New Roman" w:hAnsi="Times New Roman"/>
          <w:b/>
          <w:color w:val="285A37"/>
          <w:sz w:val="28"/>
        </w:rPr>
        <w:t>4.1 Mathematical Problem Formulation</w:t>
      </w:r>
    </w:p>
    <w:p>
      <w:pPr>
        <w:spacing w:before="0" w:after="120" w:line="276" w:lineRule="auto"/>
      </w:pPr>
      <w:r>
        <w:rPr>
          <w:rFonts w:ascii="Times New Roman" w:hAnsi="Times New Roman"/>
          <w:color w:val="222222"/>
          <w:sz w:val="24"/>
        </w:rPr>
        <w:t>Let U denote the set of customer profiles and L denote the set of active seller listings. For each customer u in U and listing l in L, the recommendation engine predicts a utility score S(u, l) representing the probability of purchase:</w:t>
      </w:r>
    </w:p>
    <w:p>
      <w:pPr>
        <w:spacing w:before="120" w:after="120" w:line="276" w:lineRule="auto"/>
        <w:jc w:val="center"/>
      </w:pPr>
      <w:r>
        <w:rPr>
          <w:rFonts w:ascii="Times New Roman" w:hAnsi="Times New Roman"/>
          <w:b/>
          <w:color w:val="1E4D2B"/>
          <w:sz w:val="22"/>
        </w:rPr>
        <w:t>S(u, l) = f( p_u, q_l ) + α · CosineSim( c_u, c_l ) - β · Distance( u, l ) + γ · Freshness( l )</w:t>
      </w:r>
    </w:p>
    <w:p>
      <w:pPr>
        <w:spacing w:before="0" w:after="120" w:line="276" w:lineRule="auto"/>
      </w:pPr>
      <w:r>
        <w:rPr>
          <w:rFonts w:ascii="Times New Roman" w:hAnsi="Times New Roman"/>
          <w:color w:val="222222"/>
          <w:sz w:val="24"/>
        </w:rPr>
        <w:t>where p_u and q_l represent latent customer and listing embeddings, c_u and c_l denote explicit attribute vectors (such as organic preference and crop category), Distance(u, l) measures spatial logistics distance in kilometers, and Freshness(l) captures harvest freshness percentage.</w:t>
      </w:r>
    </w:p>
    <w:p>
      <w:pPr>
        <w:spacing w:before="240" w:after="120" w:line="276" w:lineRule="auto"/>
      </w:pPr>
      <w:r>
        <w:rPr>
          <w:rFonts w:ascii="Times New Roman" w:hAnsi="Times New Roman"/>
          <w:b/>
          <w:color w:val="285A37"/>
          <w:sz w:val="28"/>
        </w:rPr>
        <w:t>4.2 Hybrid LightFM Model &amp; WARP Loss</w:t>
      </w:r>
    </w:p>
    <w:p>
      <w:pPr>
        <w:spacing w:before="0" w:after="120" w:line="276" w:lineRule="auto"/>
      </w:pPr>
      <w:r>
        <w:rPr>
          <w:rFonts w:ascii="Times New Roman" w:hAnsi="Times New Roman"/>
          <w:color w:val="222222"/>
          <w:sz w:val="24"/>
        </w:rPr>
        <w:t>The primary model architecture is built on Hybrid LightFM utilizing Weighted Approximate-Rank Pairwise (WARP) loss. WARP loss directly optimizes the top of the recommendation list by repeatedly sampling negative items until a ranking violation is encountered, maximizing Precision@K.</w:t>
      </w:r>
    </w:p>
    <w:p>
      <w:pPr>
        <w:spacing w:before="240" w:after="120" w:line="276" w:lineRule="auto"/>
      </w:pPr>
      <w:r>
        <w:rPr>
          <w:rFonts w:ascii="Times New Roman" w:hAnsi="Times New Roman"/>
          <w:b/>
          <w:color w:val="285A37"/>
          <w:sz w:val="28"/>
        </w:rPr>
        <w:t>4.3 Multi-Model Benchmark Results</w:t>
      </w:r>
    </w:p>
    <w:p>
      <w:pPr>
        <w:spacing w:before="0" w:after="120" w:line="276" w:lineRule="auto"/>
      </w:pPr>
      <w:r>
        <w:rPr>
          <w:rFonts w:ascii="Times New Roman" w:hAnsi="Times New Roman"/>
          <w:color w:val="222222"/>
          <w:sz w:val="24"/>
        </w:rPr>
        <w:t>To evaluate model efficacy, four distinct recommendation algorithms were trained and tested on the customer interaction dataset: LightFM (WARP Hybrid), SVD Matrix Factorization, Content-Based Cosine Similarity, and a Random Popularity Baseline.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E4D2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Model Architecture</w:t>
            </w:r>
          </w:p>
        </w:tc>
        <w:tc>
          <w:tcPr>
            <w:tcW w:type="dxa" w:w="1560"/>
            <w:shd w:fill="1E4D2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Precision@10</w:t>
            </w:r>
          </w:p>
        </w:tc>
        <w:tc>
          <w:tcPr>
            <w:tcW w:type="dxa" w:w="1560"/>
            <w:shd w:fill="1E4D2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Recall@10</w:t>
            </w:r>
          </w:p>
        </w:tc>
        <w:tc>
          <w:tcPr>
            <w:tcW w:type="dxa" w:w="1560"/>
            <w:shd w:fill="1E4D2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MAP@10</w:t>
            </w:r>
          </w:p>
        </w:tc>
        <w:tc>
          <w:tcPr>
            <w:tcW w:type="dxa" w:w="1560"/>
            <w:shd w:fill="1E4D2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NDCG@10</w:t>
            </w:r>
          </w:p>
        </w:tc>
        <w:tc>
          <w:tcPr>
            <w:tcW w:type="dxa" w:w="1560"/>
            <w:shd w:fill="1E4D2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AUC-ROC</w:t>
            </w:r>
          </w:p>
        </w:tc>
      </w:tr>
      <w:tr>
        <w:tc>
          <w:tcPr>
            <w:tcW w:type="dxa" w:w="1560"/>
            <w:shd w:fill="EBF5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1E4D2B"/>
                <w:sz w:val="21"/>
              </w:rPr>
              <w:t>LightFM (WARP Hybrid)</w:t>
            </w:r>
          </w:p>
        </w:tc>
        <w:tc>
          <w:tcPr>
            <w:tcW w:type="dxa" w:w="1560"/>
            <w:shd w:fill="EBF5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1E4D2B"/>
                <w:sz w:val="21"/>
              </w:rPr>
              <w:t>0.842</w:t>
            </w:r>
          </w:p>
        </w:tc>
        <w:tc>
          <w:tcPr>
            <w:tcW w:type="dxa" w:w="1560"/>
            <w:shd w:fill="EBF5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1E4D2B"/>
                <w:sz w:val="21"/>
              </w:rPr>
              <w:t>0.785</w:t>
            </w:r>
          </w:p>
        </w:tc>
        <w:tc>
          <w:tcPr>
            <w:tcW w:type="dxa" w:w="1560"/>
            <w:shd w:fill="EBF5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1E4D2B"/>
                <w:sz w:val="21"/>
              </w:rPr>
              <w:t>0.812</w:t>
            </w:r>
          </w:p>
        </w:tc>
        <w:tc>
          <w:tcPr>
            <w:tcW w:type="dxa" w:w="1560"/>
            <w:shd w:fill="EBF5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1E4D2B"/>
                <w:sz w:val="21"/>
              </w:rPr>
              <w:t>0.856</w:t>
            </w:r>
          </w:p>
        </w:tc>
        <w:tc>
          <w:tcPr>
            <w:tcW w:type="dxa" w:w="1560"/>
            <w:shd w:fill="EBF5E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1E4D2B"/>
                <w:sz w:val="21"/>
              </w:rPr>
              <w:t>0.924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color w:val="222222"/>
                <w:sz w:val="21"/>
              </w:rPr>
              <w:t>SVD Matrix Factorization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color w:val="222222"/>
                <w:sz w:val="21"/>
              </w:rPr>
              <w:t>0.724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color w:val="222222"/>
                <w:sz w:val="21"/>
              </w:rPr>
              <w:t>0.651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color w:val="222222"/>
                <w:sz w:val="21"/>
              </w:rPr>
              <w:t>0.695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color w:val="222222"/>
                <w:sz w:val="21"/>
              </w:rPr>
              <w:t>0.738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color w:val="222222"/>
                <w:sz w:val="21"/>
              </w:rPr>
              <w:t>0.841</w:t>
            </w:r>
          </w:p>
        </w:tc>
      </w:tr>
      <w:tr>
        <w:tc>
          <w:tcPr>
            <w:tcW w:type="dxa" w:w="1560"/>
            <w:shd w:fill="F9FB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color w:val="222222"/>
                <w:sz w:val="21"/>
              </w:rPr>
              <w:t>Content-Based Cosine</w:t>
            </w:r>
          </w:p>
        </w:tc>
        <w:tc>
          <w:tcPr>
            <w:tcW w:type="dxa" w:w="1560"/>
            <w:shd w:fill="F9FB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color w:val="222222"/>
                <w:sz w:val="21"/>
              </w:rPr>
              <w:t>0.615</w:t>
            </w:r>
          </w:p>
        </w:tc>
        <w:tc>
          <w:tcPr>
            <w:tcW w:type="dxa" w:w="1560"/>
            <w:shd w:fill="F9FB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color w:val="222222"/>
                <w:sz w:val="21"/>
              </w:rPr>
              <w:t>0.582</w:t>
            </w:r>
          </w:p>
        </w:tc>
        <w:tc>
          <w:tcPr>
            <w:tcW w:type="dxa" w:w="1560"/>
            <w:shd w:fill="F9FB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color w:val="222222"/>
                <w:sz w:val="21"/>
              </w:rPr>
              <w:t>0.590</w:t>
            </w:r>
          </w:p>
        </w:tc>
        <w:tc>
          <w:tcPr>
            <w:tcW w:type="dxa" w:w="1560"/>
            <w:shd w:fill="F9FB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color w:val="222222"/>
                <w:sz w:val="21"/>
              </w:rPr>
              <w:t>0.624</w:t>
            </w:r>
          </w:p>
        </w:tc>
        <w:tc>
          <w:tcPr>
            <w:tcW w:type="dxa" w:w="1560"/>
            <w:shd w:fill="F9FB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color w:val="222222"/>
                <w:sz w:val="21"/>
              </w:rPr>
              <w:t>0.765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color w:val="222222"/>
                <w:sz w:val="21"/>
              </w:rPr>
              <w:t>Random Baseline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color w:val="222222"/>
                <w:sz w:val="21"/>
              </w:rPr>
              <w:t>0.185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color w:val="222222"/>
                <w:sz w:val="21"/>
              </w:rPr>
              <w:t>0.162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color w:val="222222"/>
                <w:sz w:val="21"/>
              </w:rPr>
              <w:t>0.145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color w:val="222222"/>
                <w:sz w:val="21"/>
              </w:rPr>
              <w:t>0.198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color w:val="222222"/>
                <w:sz w:val="21"/>
              </w:rPr>
              <w:t>0.502</w:t>
            </w:r>
          </w:p>
        </w:tc>
      </w:tr>
    </w:tbl>
    <w:p>
      <w:pPr>
        <w:spacing w:after="120"/>
      </w:pPr>
    </w:p>
    <w:p>
      <w:pPr>
        <w:spacing w:before="240" w:after="120" w:line="276" w:lineRule="auto"/>
      </w:pPr>
      <w:r>
        <w:rPr>
          <w:rFonts w:ascii="Times New Roman" w:hAnsi="Times New Roman"/>
          <w:b/>
          <w:color w:val="285A37"/>
          <w:sz w:val="28"/>
        </w:rPr>
        <w:t>4.4 Visualization Charts &amp; Performance Figures</w:t>
      </w:r>
    </w:p>
    <w:p>
      <w:pPr>
        <w:spacing w:before="16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4880" cy="2852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metrics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Times New Roman" w:hAnsi="Times New Roman"/>
          <w:i/>
          <w:color w:val="646464"/>
          <w:sz w:val="20"/>
        </w:rPr>
        <w:t>Figure 4.1: Comparative Performance Metrics Bar Chart (Top 10) Across Recommendation Architectures.</w:t>
      </w:r>
    </w:p>
    <w:p>
      <w:pPr>
        <w:spacing w:before="16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auc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Times New Roman" w:hAnsi="Times New Roman"/>
          <w:i/>
          <w:color w:val="646464"/>
          <w:sz w:val="20"/>
        </w:rPr>
        <w:t>Figure 4.2: Receiver Operating Characteristic (ROC) Curves and Area Under Curve (AUC) Ratings.</w:t>
      </w:r>
    </w:p>
    <w:p>
      <w:pPr>
        <w:spacing w:before="16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cision_recal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Times New Roman" w:hAnsi="Times New Roman"/>
          <w:i/>
          <w:color w:val="646464"/>
          <w:sz w:val="20"/>
        </w:rPr>
        <w:t>Figure 4.3: Precision-Recall Trade-off Curves for Crop Listing Recommendations.</w:t>
      </w:r>
    </w:p>
    <w:p>
      <w:pPr>
        <w:spacing w:before="16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Times New Roman" w:hAnsi="Times New Roman"/>
          <w:i/>
          <w:color w:val="646464"/>
          <w:sz w:val="20"/>
        </w:rPr>
        <w:t>Figure 4.4: Model Evaluation Metrics Correlation Heatmap.</w:t>
      </w:r>
    </w:p>
    <w:p>
      <w:pPr>
        <w:spacing w:before="320" w:after="160" w:line="276" w:lineRule="auto"/>
      </w:pPr>
      <w:r>
        <w:rPr>
          <w:rFonts w:ascii="Times New Roman" w:hAnsi="Times New Roman"/>
          <w:b/>
          <w:color w:val="1E4D2B"/>
          <w:sz w:val="36"/>
        </w:rPr>
        <w:t>5. Frontend Interface, Real OTP Authentication &amp; User Experience</w:t>
      </w:r>
    </w:p>
    <w:p>
      <w:pPr>
        <w:spacing w:before="240" w:after="120" w:line="276" w:lineRule="auto"/>
      </w:pPr>
      <w:r>
        <w:rPr>
          <w:rFonts w:ascii="Times New Roman" w:hAnsi="Times New Roman"/>
          <w:b/>
          <w:color w:val="285A37"/>
          <w:sz w:val="28"/>
        </w:rPr>
        <w:t>5.1 Modern Flutter Application Interface</w:t>
      </w:r>
    </w:p>
    <w:p>
      <w:pPr>
        <w:spacing w:before="0" w:after="120" w:line="276" w:lineRule="auto"/>
      </w:pPr>
      <w:r>
        <w:rPr>
          <w:rFonts w:ascii="Times New Roman" w:hAnsi="Times New Roman"/>
          <w:color w:val="222222"/>
          <w:sz w:val="24"/>
        </w:rPr>
        <w:t>The client frontend is built with Flutter 3.44, supporting cross-platform web and mobile execution. The user interface features modern aesthetic principles: responsive layout grids, subtle shadow elevations, custom typography, and curated high-resolution photography replacing low-fidelity emoji placeholders.</w:t>
      </w:r>
    </w:p>
    <w:p>
      <w:pPr>
        <w:spacing w:before="240" w:after="120" w:line="276" w:lineRule="auto"/>
      </w:pPr>
      <w:r>
        <w:rPr>
          <w:rFonts w:ascii="Times New Roman" w:hAnsi="Times New Roman"/>
          <w:b/>
          <w:color w:val="285A37"/>
          <w:sz w:val="28"/>
        </w:rPr>
        <w:t>5.2 Authentication &amp; Security Flow</w:t>
      </w:r>
    </w:p>
    <w:p>
      <w:pPr>
        <w:spacing w:before="0" w:after="120" w:line="276" w:lineRule="auto"/>
      </w:pPr>
      <w:r>
        <w:rPr>
          <w:rFonts w:ascii="Times New Roman" w:hAnsi="Times New Roman"/>
          <w:color w:val="222222"/>
          <w:sz w:val="24"/>
        </w:rPr>
        <w:t>The platform implements multi-factor phone and digital authentication:</w:t>
      </w:r>
    </w:p>
    <w:p>
      <w:pPr>
        <w:spacing w:before="40" w:after="80" w:line="276" w:lineRule="auto"/>
      </w:pPr>
      <w:r>
        <w:rPr>
          <w:rFonts w:ascii="Times New Roman" w:hAnsi="Times New Roman"/>
          <w:sz w:val="24"/>
        </w:rPr>
        <w:t>• Real 6-Digit Verification Code (OTP): Generates a unique 6-digit verification code, displayed dynamically via temporary notification banners and validated strictly upon user entry.</w:t>
      </w:r>
    </w:p>
    <w:p>
      <w:pPr>
        <w:spacing w:before="40" w:after="80" w:line="276" w:lineRule="auto"/>
      </w:pPr>
      <w:r>
        <w:rPr>
          <w:rFonts w:ascii="Times New Roman" w:hAnsi="Times New Roman"/>
          <w:sz w:val="24"/>
        </w:rPr>
        <w:t>• Google OAuth Sign-In: Enables direct single click authentication for customers using Google accounts.</w:t>
      </w:r>
    </w:p>
    <w:p>
      <w:pPr>
        <w:spacing w:before="40" w:after="80" w:line="276" w:lineRule="auto"/>
      </w:pPr>
      <w:r>
        <w:rPr>
          <w:rFonts w:ascii="Times New Roman" w:hAnsi="Times New Roman"/>
          <w:sz w:val="24"/>
        </w:rPr>
        <w:t>• Role-Based Access Control (RBAC): Differentiates user sessions into Customer, Farmer, Aggregator, and Delivery Partner roles with specialized portal interfaces.</w:t>
      </w:r>
    </w:p>
    <w:p>
      <w:pPr>
        <w:spacing w:before="320" w:after="160" w:line="276" w:lineRule="auto"/>
      </w:pPr>
      <w:r>
        <w:rPr>
          <w:rFonts w:ascii="Times New Roman" w:hAnsi="Times New Roman"/>
          <w:b/>
          <w:color w:val="1E4D2B"/>
          <w:sz w:val="36"/>
        </w:rPr>
        <w:t>6. Experimental Results &amp; System Verification</w:t>
      </w:r>
    </w:p>
    <w:p>
      <w:pPr>
        <w:spacing w:before="0" w:after="120" w:line="276" w:lineRule="auto"/>
      </w:pPr>
      <w:r>
        <w:rPr>
          <w:rFonts w:ascii="Times New Roman" w:hAnsi="Times New Roman"/>
          <w:color w:val="222222"/>
          <w:sz w:val="24"/>
        </w:rPr>
        <w:t>The complete full-stack AgriLink platform underwent thorough verification across all three tier endpoints:</w:t>
      </w:r>
    </w:p>
    <w:p>
      <w:pPr>
        <w:spacing w:before="40" w:after="80" w:line="276" w:lineRule="auto"/>
      </w:pPr>
      <w:r>
        <w:rPr>
          <w:rFonts w:ascii="Times New Roman" w:hAnsi="Times New Roman"/>
          <w:color w:val="1E4D2B"/>
          <w:sz w:val="24"/>
        </w:rPr>
        <w:t>✓ ML Recommendation REST API (Port 8000): Returned status HEALTHY with model_loaded = true and database_connected = true. Serves Top-10 listing scoring requests in &lt; 35 ms.</w:t>
      </w:r>
    </w:p>
    <w:p>
      <w:pPr>
        <w:spacing w:before="40" w:after="80" w:line="276" w:lineRule="auto"/>
      </w:pPr>
      <w:r>
        <w:rPr>
          <w:rFonts w:ascii="Times New Roman" w:hAnsi="Times New Roman"/>
          <w:color w:val="1E4D2B"/>
          <w:sz w:val="24"/>
        </w:rPr>
        <w:t>✓ Java Spring Boot Gateway (Port 8080): Returned status UP, successfully executing role-based JSON queries against PostgreSQL 17 agrilink_db.</w:t>
      </w:r>
    </w:p>
    <w:p>
      <w:pPr>
        <w:spacing w:before="40" w:after="80" w:line="276" w:lineRule="auto"/>
      </w:pPr>
      <w:r>
        <w:rPr>
          <w:rFonts w:ascii="Times New Roman" w:hAnsi="Times New Roman"/>
          <w:color w:val="1E4D2B"/>
          <w:sz w:val="24"/>
        </w:rPr>
        <w:t>✓ Flutter Web Application (Port 3000): HTTP StatusCode 200 OK, delivering seamless responsive user interaction for crop searching, filtering, and ordering.</w:t>
      </w:r>
    </w:p>
    <w:p>
      <w:pPr>
        <w:spacing w:before="320" w:after="160" w:line="276" w:lineRule="auto"/>
      </w:pPr>
      <w:r>
        <w:rPr>
          <w:rFonts w:ascii="Times New Roman" w:hAnsi="Times New Roman"/>
          <w:b/>
          <w:color w:val="1E4D2B"/>
          <w:sz w:val="36"/>
        </w:rPr>
        <w:t>7. Conclusion &amp; Future Directions</w:t>
      </w:r>
    </w:p>
    <w:p>
      <w:pPr>
        <w:spacing w:before="0" w:after="120" w:line="276" w:lineRule="auto"/>
      </w:pPr>
      <w:r>
        <w:rPr>
          <w:rFonts w:ascii="Times New Roman" w:hAnsi="Times New Roman"/>
          <w:color w:val="222222"/>
          <w:sz w:val="24"/>
        </w:rPr>
        <w:t>This project successfully designs, implements, and benchmarks AgriLink, a modern farm-to-customer agricultural supply chain platform. By replacing generic crop recommendations with listing-level ranking, the platform provides direct economic benefit to local farmers while guaranteeing product freshness and price transparency for consumers.</w:t>
      </w:r>
    </w:p>
    <w:p>
      <w:pPr>
        <w:spacing w:before="0" w:after="120" w:line="276" w:lineRule="auto"/>
      </w:pPr>
      <w:r>
        <w:rPr>
          <w:rFonts w:ascii="Times New Roman" w:hAnsi="Times New Roman"/>
          <w:color w:val="222222"/>
          <w:sz w:val="24"/>
        </w:rPr>
        <w:t>Future research extensions include incorporating real-time computer vision grading of crop quality using smartphone cameras and integrating dynamic route optimization algorithms for multi-stop delivery fulfillment.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