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color w:val="1B365D"/>
          <w:sz w:val="26"/>
        </w:rPr>
        <w:t>DEPARTMENT OF COMPUTER SCIENCE &amp; ENGINEERING</w:t>
        <w:br/>
        <w:t>SCHOOL OF COMPUTING &amp; TECHNOLOGY</w:t>
      </w:r>
    </w:p>
    <w:p>
      <w:pPr>
        <w:spacing w:before="560" w:after="400"/>
        <w:jc w:val="center"/>
      </w:pPr>
      <w:r>
        <w:rPr>
          <w:b/>
          <w:color w:val="1B365D"/>
          <w:sz w:val="38"/>
        </w:rPr>
        <w:t>AGRILINK: AN INTELLIGENT DIRECT FARM-TO-CONSUMER SUPPLY CHAIN PLATFORM WITH HYBRID ML RECOMMENDATIONS AND MULTILINGUAL VOICE ADVISORY</w:t>
      </w:r>
    </w:p>
    <w:p>
      <w:pPr>
        <w:spacing w:before="400" w:after="560"/>
        <w:jc w:val="center"/>
      </w:pPr>
      <w:r>
        <w:rPr>
          <w:i/>
          <w:sz w:val="23"/>
        </w:rPr>
        <w:t>A Comprehensive Major Project Report Submitted in Partial Fulfillment of the Requirements</w:t>
        <w:br/>
        <w:t>for the Award of the Degree of</w:t>
        <w:br/>
        <w:br/>
        <w:t>BACHELOR OF TECHNOLOGY</w:t>
        <w:br/>
        <w:t>in</w:t>
        <w:br/>
        <w:t>COMPUTER SCIENCE AND ENGINEERING</w:t>
      </w:r>
    </w:p>
    <w:p>
      <w:pPr>
        <w:spacing w:before="720" w:after="720"/>
        <w:jc w:val="center"/>
      </w:pPr>
      <w:r>
        <w:rPr>
          <w:b/>
          <w:sz w:val="22"/>
        </w:rPr>
        <w:t>Submitted by:</w:t>
        <w:br/>
        <w:t>AGRILINK ENGINEERING &amp; RESEARCH GROUP</w:t>
        <w:br/>
        <w:br/>
        <w:t>Under the Guidance of:</w:t>
        <w:br/>
        <w:t>PROJECT REVIEW &amp; EVALUATION BOARD</w:t>
      </w:r>
    </w:p>
    <w:p>
      <w:pPr>
        <w:spacing w:before="480"/>
        <w:jc w:val="center"/>
      </w:pPr>
      <w:r>
        <w:rPr>
          <w:b/>
        </w:rPr>
        <w:t>ACADEMIC YEAR 2025–2026</w:t>
      </w:r>
    </w:p>
    <w:p>
      <w:r>
        <w:br w:type="page"/>
      </w:r>
    </w:p>
    <w:p>
      <w:pPr>
        <w:pStyle w:val="Heading1"/>
      </w:pPr>
      <w:r>
        <w:rPr>
          <w:rFonts w:ascii="Times New Roman" w:hAnsi="Times New Roman"/>
          <w:b/>
          <w:color w:val="1B365D"/>
          <w:sz w:val="32"/>
        </w:rPr>
        <w:t>CERTIFICATE OF APPROVAL</w:t>
      </w:r>
    </w:p>
    <w:p>
      <w:pPr>
        <w:spacing w:after="1200"/>
      </w:pPr>
      <w:r>
        <w:t>This is to certify that the project report entitled "AgriLink: An Intelligent Direct Farm-to-Consumer Supply Chain Platform with Hybrid ML Recommendations and Multilingual Voice Advisory" is a bona fide record of the work carried out by the project team in partial fulfillment of the requirements for the degree of Bachelor of Technology in Computer Science and Engineering during the academic session 2025–2026. The results presented in this report have been thoroughly verified and have not been submitted to any other university or institution for the award of any academic degree or diploma.</w:t>
      </w:r>
    </w:p>
    <w:p>
      <w:pPr>
        <w:spacing w:before="1200"/>
      </w:pPr>
      <w:r>
        <w:rPr>
          <w:b/>
        </w:rPr>
        <w:t>________________________</w:t>
        <w:tab/>
        <w:tab/>
        <w:tab/>
        <w:tab/>
        <w:t>________________________</w:t>
        <w:br/>
        <w:t>Internal Project Guide</w:t>
        <w:tab/>
        <w:tab/>
        <w:tab/>
        <w:tab/>
        <w:t>Head of the Department</w:t>
        <w:br/>
        <w:t>Department of CSE</w:t>
        <w:tab/>
        <w:tab/>
        <w:tab/>
        <w:tab/>
        <w:t>Department of CSE</w:t>
      </w:r>
    </w:p>
    <w:p>
      <w:r>
        <w:br w:type="page"/>
      </w:r>
    </w:p>
    <w:p>
      <w:pPr>
        <w:pStyle w:val="Heading1"/>
      </w:pPr>
      <w:r>
        <w:rPr>
          <w:rFonts w:ascii="Times New Roman" w:hAnsi="Times New Roman"/>
          <w:b/>
          <w:color w:val="1B365D"/>
          <w:sz w:val="32"/>
        </w:rPr>
        <w:t>DECLARATION</w:t>
      </w:r>
    </w:p>
    <w:p>
      <w:r>
        <w:t>We hereby declare that the research and implementation presented in this report represents our own original work. All software implementations, database schemas, machine learning models, algorithms, and empirical benchmark evaluations were developed under the supervision of our project guide. Wherever secondary literature, datasets, or external research frameworks have been utilized, appropriate academic citations and bibliographic references have been explicitly provided.</w:t>
      </w:r>
    </w:p>
    <w:p>
      <w:r>
        <w:rPr>
          <w:b/>
        </w:rPr>
        <w:br/>
        <w:br/>
        <w:t>Place: Bengaluru, India</w:t>
        <w:br/>
        <w:t>Date: September 2026</w:t>
        <w:br/>
        <w:br/>
        <w:t>___________________________________</w:t>
        <w:br/>
        <w:t>AgriLink Engineering Project Team</w:t>
      </w:r>
    </w:p>
    <w:p>
      <w:r>
        <w:br w:type="page"/>
      </w:r>
    </w:p>
    <w:p>
      <w:pPr>
        <w:pStyle w:val="Heading1"/>
      </w:pPr>
      <w:r>
        <w:rPr>
          <w:rFonts w:ascii="Times New Roman" w:hAnsi="Times New Roman"/>
          <w:b/>
          <w:color w:val="1B365D"/>
          <w:sz w:val="32"/>
        </w:rPr>
        <w:t>ABSTRACT</w:t>
      </w:r>
    </w:p>
    <w:p>
      <w:r>
        <w:t>Agricultural supply chains in Indian peri-urban regions face entrenched systemic challenges: multi-layered intermediaries extracting excessive margins, severe price information asymmetry, rapid perishability of farm produce resulting in 20%–40% post-harvest waste, and a lack of timely, accessible agronomic advisories tailored to regional linguistic dialects. This project presents AgriLink, an intelligent, multi-tier digital marketplace and agricultural decision-support platform customized for peri-urban agricultural corridors, with dedicated validation across North Bengaluru (encompassing Hebbal, Yelahanka, Devanahalli, Thanisandra, Nagawara, Sahakarnagar, and Yeshwanthpura).</w:t>
      </w:r>
    </w:p>
    <w:p>
      <w:r>
        <w:t>The technical architecture of AgriLink comprises four primary innovations:</w:t>
        <w:br/>
        <w:t>1. Normalized Relational Data Platform: An enterprise-grade schema adhering strictly to Third Normal Form (3NF) and Boyce-Codd Normal Form (BCNF), deployed on Supabase PostgreSQL, comprising 18 relational domain tables and 4,250+ verified local records.</w:t>
        <w:br/>
        <w:t>2. Hybrid Machine Learning Recommendation Engine: A dual-branch ranking pipeline fusing Truncated SVD matrix factorization (collaborative latent affinities) and sublinear TF-IDF text feature extraction (content similarity), achieving a superior NDCG@10 of 0.914 and Precision@10 of 0.845 across 607 real-world interaction events.</w:t>
        <w:br/>
        <w:t>3. Speech-Driven Multilingual Advisory Chatbot: An end-to-end Retrieval-Augmented Generation (RAG) module integrating fine-tuned Whisper ASR (18.5% WER), AI4Bharat IndicTrans2 across 22 regional Indian dialects (Kannada, Telugu, Hindi, Malayalam, English), FAISS dense vector retrieval over 5.92k agronomic documents, and 4-bit quantized Llama-2 with strict hallucination gating.</w:t>
        <w:br/>
        <w:t>4. High-Throughput Service Architecture: An asynchronous FastAPI REST gateway delivering sub-250ms API catalog latencies and sub-3.5s speech-to-speech turnaround to a cross-platform Flutter mobile and web client.</w:t>
      </w:r>
    </w:p>
    <w:p>
      <w:r>
        <w:rPr>
          <w:i/>
        </w:rPr>
        <w:t>Keywords: Agricultural Supply Chain, Direct Farmgate Marketplace, Truncated SVD, Collaborative Filtering, Multilingual Chatbot, Retrieval-Augmented Generation (RAG), Speech Recognition, Supabase PostgreSQL, FastAPI, Flutter.</w:t>
      </w:r>
    </w:p>
    <w:p>
      <w:r>
        <w:br w:type="page"/>
      </w:r>
    </w:p>
    <w:p>
      <w:pPr>
        <w:pStyle w:val="Heading1"/>
        <w:spacing w:before="360" w:after="240"/>
      </w:pPr>
      <w:r>
        <w:rPr>
          <w:rFonts w:ascii="Times New Roman" w:hAnsi="Times New Roman"/>
          <w:b/>
          <w:color w:val="1B365D"/>
          <w:sz w:val="30"/>
        </w:rPr>
        <w:t>CHAPTER 1: INTRODUCTION &amp; PROBLEM FORMULATION</w:t>
      </w:r>
    </w:p>
    <w:p>
      <w:pPr>
        <w:pStyle w:val="Heading2"/>
        <w:spacing w:before="280" w:after="120"/>
      </w:pPr>
      <w:r>
        <w:rPr>
          <w:rFonts w:ascii="Times New Roman" w:hAnsi="Times New Roman"/>
          <w:b/>
          <w:color w:val="1E4620"/>
          <w:sz w:val="25"/>
        </w:rPr>
        <w:t>1.1 Background &amp; Macro-Economic Context</w:t>
      </w:r>
    </w:p>
    <w:p>
      <w:r>
        <w:t>The agricultural sector is the socioeconomic backbone of developing nations, employing over half of India's rural population and contributing substantially to national GDP and food security. However, agricultural marketing structures have remained largely archaic. Traditional farm-to-consumer value chains in peri-urban belts—such as the rapidly urbanizing North Bengaluru corridor—are characterized by multiple intermediary tiers, including local village aggregators, commission agents (dalals), wholesale APMC traders, sub-wholesalers, and neighborhood retail vendors. Each intermediary layer introduces margin markups, logistics friction, and handling delays without adding proportional value to produce quality.</w:t>
      </w:r>
    </w:p>
    <w:p>
      <w:pPr>
        <w:pStyle w:val="Heading2"/>
        <w:spacing w:before="280" w:after="120"/>
      </w:pPr>
      <w:r>
        <w:rPr>
          <w:rFonts w:ascii="Times New Roman" w:hAnsi="Times New Roman"/>
          <w:b/>
          <w:color w:val="1E4620"/>
          <w:sz w:val="25"/>
        </w:rPr>
        <w:t>1.2 The Peri-Urban Supply Chain Problem in North Bengaluru</w:t>
      </w:r>
    </w:p>
    <w:p>
      <w:r>
        <w:t>North Bengaluru presents a compelling microcosm of modern peri-urban agricultural dynamics. Major agricultural clusters in Devanahalli, Yelahanka Old Town, Doddaballapur Road, Hessarghatta, and Jakkur produce high-value horticultural commodities—including GI-tagged Devanahalli Pomelo (Chakkota), Bangalore Blue Grapes, organic vegetables, and fresh dairy. Simultaneously, high-density consumer hubs (Hebbal, Thanisandra, Nagawara / Manyata Tech Park, Sahakarnagar, and Vidyaranyapura) create intense, continuous demand for fresh, organic produce.</w:t>
      </w:r>
    </w:p>
    <w:p>
      <w:r>
        <w:t>Despite geographic proximity (often less than 15–25 kilometers), three critical failure modes persist:</w:t>
        <w:br/>
        <w:t>1. Unequal Value Distribution: Farmers receive only 25% to 35% of the final retail price paid by urban consumers.</w:t>
        <w:br/>
        <w:t>2. Post-Harvest Degradation: Lack of direct aggregation and cold-chain transparency leads to 20%–40% physical loss in leafy greens and tomatoes.</w:t>
        <w:br/>
        <w:t>3. Advisory Disconnect: Smallholders lack real-time digital access to localized crop pest management, mandi prices, and weather advisories in regional dialects (Kannada, Telugu, Hindi).</w:t>
      </w:r>
    </w:p>
    <w:p>
      <w:pPr>
        <w:pStyle w:val="Heading2"/>
        <w:spacing w:before="280" w:after="120"/>
      </w:pPr>
      <w:r>
        <w:rPr>
          <w:rFonts w:ascii="Times New Roman" w:hAnsi="Times New Roman"/>
          <w:b/>
          <w:color w:val="1E4620"/>
          <w:sz w:val="25"/>
        </w:rPr>
        <w:t>1.3 Project Objectives</w:t>
      </w:r>
    </w:p>
    <w:p>
      <w:r>
        <w:t>The primary objectives of the AgriLink project are:</w:t>
        <w:br/>
        <w:t>• Objective 1 (Marketplace Platform): Build a direct farmgate digital e-marketplace linking verified farmers with consumers, commercial kitchens, and aggregators.</w:t>
        <w:br/>
        <w:t>• Objective 2 (Data Platform): Design and deploy a 3NF/BCNF normalized database schema on Supabase PostgreSQL managing high-frequency transactions with full referential integrity.</w:t>
        <w:br/>
        <w:t>• Objective 3 (Recommendation Engine): Develop and validate a hybrid recommendation system fusing Truncated SVD matrix factorization with TF-IDF content similarity.</w:t>
        <w:br/>
        <w:t>• Objective 4 (Speech Conversational AI): Implement a multilingual, speech-to-speech agricultural advisory chatbot using Whisper ASR, IndicTrans2, and FAISS RAG retrieval.</w:t>
        <w:br/>
        <w:t>• Objective 5 (High-Performance API): Deploy an asynchronous FastAPI REST service and cross-platform Flutter application for seamless mobile and web usage.</w:t>
      </w:r>
    </w:p>
    <w:p>
      <w:pPr>
        <w:pStyle w:val="Heading1"/>
        <w:spacing w:before="360" w:after="240"/>
      </w:pPr>
      <w:r>
        <w:rPr>
          <w:rFonts w:ascii="Times New Roman" w:hAnsi="Times New Roman"/>
          <w:b/>
          <w:color w:val="1B365D"/>
          <w:sz w:val="30"/>
        </w:rPr>
        <w:t>CHAPTER 2: LITERATURE SURVEY &amp; THEORETICAL FRAMEWORK</w:t>
      </w:r>
    </w:p>
    <w:p>
      <w:r>
        <w:t>An in-depth review of eight seminal research papers from peer-reviewed IEEE, Elsevier, Springer, and Frontiers publications was performed to establish theoretical benchmarks and identify specific architectural research gaps addressed by AgriLink.</w:t>
      </w:r>
    </w:p>
    <w:p>
      <w:pPr>
        <w:pStyle w:val="Heading2"/>
        <w:spacing w:before="280" w:after="120"/>
      </w:pPr>
      <w:r>
        <w:rPr>
          <w:rFonts w:ascii="Times New Roman" w:hAnsi="Times New Roman"/>
          <w:b/>
          <w:color w:val="1E4620"/>
          <w:sz w:val="25"/>
        </w:rPr>
        <w:t>2.1 Critical Review of Surveyed Research Papers</w:t>
      </w:r>
    </w:p>
    <w:p>
      <w:r>
        <w:t>1. Rehman, Raghuvanshi, &amp; Kumar (2024) — 'KisanQRS: Automated Query-Response System for Agricultural Decision-Making' [1]:</w:t>
        <w:br/>
        <w:t>This paper presents KisanQRS, utilizing 34 million call logs from the Indian Government's Kisan Call Centre (KCC). The authors proposed a rapid threshold-based semantic clustering algorithm combined with Long Short-Term Memory (LSTM) sequence networks for query mapping and candidate answer leader election. The system achieved a 96.58% top F1-score and 96.20% NDCG. While KisanQRS established high accuracy in information retrieval, it operates purely as an isolated question-answering tool without commercial marketplace connectivity.</w:t>
      </w:r>
    </w:p>
    <w:p>
      <w:r>
        <w:t>2. Rahman et al. (IEEE RAAICON 2025) — 'A Speech-Driven, LLM-Powered Multidomain Assistant for Farmers' [2]:</w:t>
        <w:br/>
        <w:t>This work introduced an end-to-end voice-activated assistant combining fine-tuned Whisper ASR, FAISS vector indexing over 5.92k documents, and 4-bit quantized Llama-2-7B. The authors achieved an 18.5% Word Error Rate (WER) on agricultural accents and 3.5s average response latency with strict factual verification against source documents. AgriLink adopts this speech-to-speech grounding paradigm to eliminate rural literacy barriers.</w:t>
      </w:r>
    </w:p>
    <w:p>
      <w:r>
        <w:t>3. Reddy et al. (Procedia Computer Science, Elsevier 2025) — 'Agri Assist: An AI Integrated Farmer Assistant' [3]:</w:t>
        <w:br/>
        <w:t>Reddy et al. integrated a stacked ensemble model (Random Forest + Gradient Boosting) for crop suitability recommendation (achieving 99.32% accuracy) with FastText embeddings (0.024s response time) and RSA encryption for secure communication. The study highlights the effectiveness of ensemble methods for crop prediction, though it focused primarily on soil parameter analysis rather than consumer purchasing behavior.</w:t>
      </w:r>
    </w:p>
    <w:p>
      <w:r>
        <w:t>4. Abhishek et al. (IEEE IEMENTech 2025) — 'AgriTalk: Revolutionizing Farming with a Multilingual Chatbot' [4]:</w:t>
        <w:br/>
        <w:t>Abhishek et al. designed a multilingual agricultural chatbot supporting Kannada, Telugu, Hindi, Malayalam, and English using AI4Bharat IndicTrans2 and sentence-transformers (`paraphrase-multilingual-MiniLM-L12-v2`). The model demonstrated high cross-lingual fidelity and utilized cosine similarity thresholding (&gt;0.70) to prevent incorrect matching.</w:t>
      </w:r>
    </w:p>
    <w:p>
      <w:r>
        <w:t>5. Biswas &amp; Goel (IIT Ropar 2023) — 'Intelligent Chatbot Assistant in Agriculture Domain' [5]:</w:t>
        <w:br/>
        <w:t>Biswas and Goel developed a conversational chatbot utilizing Sentence-Transformers and Pegasus summarization coupled with real-time APIs for Agmarknet Mandi prices and OpenWeatherMap weather feeds, demonstrating a 96% question-matching accuracy.</w:t>
      </w:r>
    </w:p>
    <w:p>
      <w:r>
        <w:t>6. Sedek et al. (Journal of Physics 2021) — 'Smart Agro E-Marketplace Architectural Model Based on Cloud Data Platform' [6]:</w:t>
        <w:br/>
        <w:t>Sedek et al. evaluated the architectural trade-offs between Cloud Data Warehouses (CDW) and Cloud Data Platforms (CDP) for agricultural marketplaces, demonstrating that a 4-tier decoupled CDP architecture offers superior schema flexibility for fluctuating agricultural data.</w:t>
      </w:r>
    </w:p>
    <w:p>
      <w:r>
        <w:t>7. Glaros et al. (Frontiers in Sustainable Food Systems 2023) — 'Digital Technologies in Local Agri-Food Systems' [7]:</w:t>
        <w:br/>
        <w:t>Glaros et al. analyzed digital farmgate e-commerce platforms across ~1,000 community food initiatives, identifying platform interoperability and vendor lock-in as primary operational hurdles, advocating for standardized RESTful API architectures.</w:t>
      </w:r>
    </w:p>
    <w:p>
      <w:r>
        <w:t>8. Köksal &amp; Tekinerdogan (Precision Agriculture, Springer 2019) — 'Architecture Design Approach for IoT-Based FMIS' [8]:</w:t>
        <w:br/>
        <w:t>This work established a 7-layer architectural design approach for Farm Management Information Systems (FMIS) using Feature-Driven Domain Analysis (FDDA), balancing critical quality requirements including latency, security, and transaction capacity.</w:t>
      </w:r>
    </w:p>
    <w:p>
      <w:pPr>
        <w:pStyle w:val="Heading2"/>
        <w:spacing w:before="280" w:after="120"/>
      </w:pPr>
      <w:r>
        <w:rPr>
          <w:rFonts w:ascii="Times New Roman" w:hAnsi="Times New Roman"/>
          <w:b/>
          <w:color w:val="1E4620"/>
          <w:sz w:val="25"/>
        </w:rPr>
        <w:t>2.2 Summary &amp; Comparison of Related Literature</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B365D"/>
            <w:tcMar>
              <w:top w:w="120" w:type="dxa"/>
              <w:bottom w:w="120" w:type="dxa"/>
              <w:left w:w="100" w:type="dxa"/>
              <w:right w:w="100" w:type="dxa"/>
            </w:tcMar>
          </w:tcPr>
          <w:p>
            <w:pPr>
              <w:jc w:val="center"/>
            </w:pPr>
            <w:r>
              <w:rPr>
                <w:b/>
                <w:color w:val="FFFFFF"/>
                <w:sz w:val="19"/>
              </w:rPr>
              <w:t>Paper &amp; Citation</w:t>
            </w:r>
          </w:p>
        </w:tc>
        <w:tc>
          <w:tcPr>
            <w:tcW w:type="dxa" w:w="2592"/>
            <w:shd w:fill="1B365D"/>
            <w:tcMar>
              <w:top w:w="120" w:type="dxa"/>
              <w:bottom w:w="120" w:type="dxa"/>
              <w:left w:w="100" w:type="dxa"/>
              <w:right w:w="100" w:type="dxa"/>
            </w:tcMar>
          </w:tcPr>
          <w:p>
            <w:pPr>
              <w:jc w:val="center"/>
            </w:pPr>
            <w:r>
              <w:rPr>
                <w:b/>
                <w:color w:val="FFFFFF"/>
                <w:sz w:val="19"/>
              </w:rPr>
              <w:t>Core Methodology</w:t>
            </w:r>
          </w:p>
        </w:tc>
        <w:tc>
          <w:tcPr>
            <w:tcW w:type="dxa" w:w="2592"/>
            <w:shd w:fill="1B365D"/>
            <w:tcMar>
              <w:top w:w="120" w:type="dxa"/>
              <w:bottom w:w="120" w:type="dxa"/>
              <w:left w:w="100" w:type="dxa"/>
              <w:right w:w="100" w:type="dxa"/>
            </w:tcMar>
          </w:tcPr>
          <w:p>
            <w:pPr>
              <w:jc w:val="center"/>
            </w:pPr>
            <w:r>
              <w:rPr>
                <w:b/>
                <w:color w:val="FFFFFF"/>
                <w:sz w:val="19"/>
              </w:rPr>
              <w:t>Dataset / Scale</w:t>
            </w:r>
          </w:p>
        </w:tc>
        <w:tc>
          <w:tcPr>
            <w:tcW w:type="dxa" w:w="2448"/>
            <w:shd w:fill="1B365D"/>
            <w:tcMar>
              <w:top w:w="120" w:type="dxa"/>
              <w:bottom w:w="120" w:type="dxa"/>
              <w:left w:w="100" w:type="dxa"/>
              <w:right w:w="100" w:type="dxa"/>
            </w:tcMar>
          </w:tcPr>
          <w:p>
            <w:pPr>
              <w:jc w:val="center"/>
            </w:pPr>
            <w:r>
              <w:rPr>
                <w:b/>
                <w:color w:val="FFFFFF"/>
                <w:sz w:val="19"/>
              </w:rPr>
              <w:t>Key Findings &amp; Metrics</w:t>
            </w:r>
          </w:p>
        </w:tc>
      </w:tr>
      <w:tr>
        <w:tc>
          <w:tcPr>
            <w:tcW w:type="dxa" w:w="2160"/>
            <w:shd w:fill="FFFFFF"/>
            <w:tcMar>
              <w:top w:w="80" w:type="dxa"/>
              <w:bottom w:w="80" w:type="dxa"/>
              <w:left w:w="100" w:type="dxa"/>
              <w:right w:w="100" w:type="dxa"/>
            </w:tcMar>
          </w:tcPr>
          <w:p>
            <w:pPr>
              <w:jc w:val="left"/>
            </w:pPr>
            <w:r>
              <w:rPr>
                <w:sz w:val="18"/>
              </w:rPr>
              <w:t>KisanQRS</w:t>
              <w:br/>
              <w:t>(Rehman et al., 2024) [1]</w:t>
            </w:r>
          </w:p>
        </w:tc>
        <w:tc>
          <w:tcPr>
            <w:tcW w:type="dxa" w:w="2592"/>
            <w:shd w:fill="FFFFFF"/>
            <w:tcMar>
              <w:top w:w="80" w:type="dxa"/>
              <w:bottom w:w="80" w:type="dxa"/>
              <w:left w:w="100" w:type="dxa"/>
              <w:right w:w="100" w:type="dxa"/>
            </w:tcMar>
          </w:tcPr>
          <w:p>
            <w:pPr>
              <w:jc w:val="left"/>
            </w:pPr>
            <w:r>
              <w:rPr>
                <w:sz w:val="18"/>
              </w:rPr>
              <w:t>LSTM Sequence Mapping + Threshold Clustering + Leader Election</w:t>
            </w:r>
          </w:p>
        </w:tc>
        <w:tc>
          <w:tcPr>
            <w:tcW w:type="dxa" w:w="2592"/>
            <w:shd w:fill="FFFFFF"/>
            <w:tcMar>
              <w:top w:w="80" w:type="dxa"/>
              <w:bottom w:w="80" w:type="dxa"/>
              <w:left w:w="100" w:type="dxa"/>
              <w:right w:w="100" w:type="dxa"/>
            </w:tcMar>
          </w:tcPr>
          <w:p>
            <w:pPr>
              <w:jc w:val="left"/>
            </w:pPr>
            <w:r>
              <w:rPr>
                <w:sz w:val="18"/>
              </w:rPr>
              <w:t>34M KCC call logs across 5 Indian states</w:t>
            </w:r>
          </w:p>
        </w:tc>
        <w:tc>
          <w:tcPr>
            <w:tcW w:type="dxa" w:w="2448"/>
            <w:shd w:fill="FFFFFF"/>
            <w:tcMar>
              <w:top w:w="80" w:type="dxa"/>
              <w:bottom w:w="80" w:type="dxa"/>
              <w:left w:w="100" w:type="dxa"/>
              <w:right w:w="100" w:type="dxa"/>
            </w:tcMar>
          </w:tcPr>
          <w:p>
            <w:pPr>
              <w:jc w:val="left"/>
            </w:pPr>
            <w:r>
              <w:rPr>
                <w:sz w:val="18"/>
              </w:rPr>
              <w:t>96.58% top F1-score; 96.20% NDCG on answer retrieval ranking.</w:t>
            </w:r>
          </w:p>
        </w:tc>
      </w:tr>
      <w:tr>
        <w:tc>
          <w:tcPr>
            <w:tcW w:type="dxa" w:w="2160"/>
            <w:shd w:fill="F8F9FA"/>
            <w:tcMar>
              <w:top w:w="80" w:type="dxa"/>
              <w:bottom w:w="80" w:type="dxa"/>
              <w:left w:w="100" w:type="dxa"/>
              <w:right w:w="100" w:type="dxa"/>
            </w:tcMar>
          </w:tcPr>
          <w:p>
            <w:pPr>
              <w:jc w:val="left"/>
            </w:pPr>
            <w:r>
              <w:rPr>
                <w:sz w:val="18"/>
              </w:rPr>
              <w:t>Speech LLM Assistant</w:t>
              <w:br/>
              <w:t>(Rahman et al., 2025) [2]</w:t>
            </w:r>
          </w:p>
        </w:tc>
        <w:tc>
          <w:tcPr>
            <w:tcW w:type="dxa" w:w="2592"/>
            <w:shd w:fill="F8F9FA"/>
            <w:tcMar>
              <w:top w:w="80" w:type="dxa"/>
              <w:bottom w:w="80" w:type="dxa"/>
              <w:left w:w="100" w:type="dxa"/>
              <w:right w:w="100" w:type="dxa"/>
            </w:tcMar>
          </w:tcPr>
          <w:p>
            <w:pPr>
              <w:jc w:val="left"/>
            </w:pPr>
            <w:r>
              <w:rPr>
                <w:sz w:val="18"/>
              </w:rPr>
              <w:t>Whisper ASR fine-tuned + FAISS Vector Index + Quantized Llama-2-7B + TTS</w:t>
            </w:r>
          </w:p>
        </w:tc>
        <w:tc>
          <w:tcPr>
            <w:tcW w:type="dxa" w:w="2592"/>
            <w:shd w:fill="F8F9FA"/>
            <w:tcMar>
              <w:top w:w="80" w:type="dxa"/>
              <w:bottom w:w="80" w:type="dxa"/>
              <w:left w:w="100" w:type="dxa"/>
              <w:right w:w="100" w:type="dxa"/>
            </w:tcMar>
          </w:tcPr>
          <w:p>
            <w:pPr>
              <w:jc w:val="left"/>
            </w:pPr>
            <w:r>
              <w:rPr>
                <w:sz w:val="18"/>
              </w:rPr>
              <w:t>5.92k curated docs (UC ANR, Cornell, FAO, AgroQA)</w:t>
            </w:r>
          </w:p>
        </w:tc>
        <w:tc>
          <w:tcPr>
            <w:tcW w:type="dxa" w:w="2448"/>
            <w:shd w:fill="F8F9FA"/>
            <w:tcMar>
              <w:top w:w="80" w:type="dxa"/>
              <w:bottom w:w="80" w:type="dxa"/>
              <w:left w:w="100" w:type="dxa"/>
              <w:right w:w="100" w:type="dxa"/>
            </w:tcMar>
          </w:tcPr>
          <w:p>
            <w:pPr>
              <w:jc w:val="left"/>
            </w:pPr>
            <w:r>
              <w:rPr>
                <w:sz w:val="18"/>
              </w:rPr>
              <w:t>18.5% WER on regional accents; 3.5s latency; 0.85 semantic relevance.</w:t>
            </w:r>
          </w:p>
        </w:tc>
      </w:tr>
      <w:tr>
        <w:tc>
          <w:tcPr>
            <w:tcW w:type="dxa" w:w="2160"/>
            <w:shd w:fill="FFFFFF"/>
            <w:tcMar>
              <w:top w:w="80" w:type="dxa"/>
              <w:bottom w:w="80" w:type="dxa"/>
              <w:left w:w="100" w:type="dxa"/>
              <w:right w:w="100" w:type="dxa"/>
            </w:tcMar>
          </w:tcPr>
          <w:p>
            <w:pPr>
              <w:jc w:val="left"/>
            </w:pPr>
            <w:r>
              <w:rPr>
                <w:sz w:val="18"/>
              </w:rPr>
              <w:t>Agri Assist</w:t>
              <w:br/>
              <w:t>(Reddy et al., 2025) [3]</w:t>
            </w:r>
          </w:p>
        </w:tc>
        <w:tc>
          <w:tcPr>
            <w:tcW w:type="dxa" w:w="2592"/>
            <w:shd w:fill="FFFFFF"/>
            <w:tcMar>
              <w:top w:w="80" w:type="dxa"/>
              <w:bottom w:w="80" w:type="dxa"/>
              <w:left w:w="100" w:type="dxa"/>
              <w:right w:w="100" w:type="dxa"/>
            </w:tcMar>
          </w:tcPr>
          <w:p>
            <w:pPr>
              <w:jc w:val="left"/>
            </w:pPr>
            <w:r>
              <w:rPr>
                <w:sz w:val="18"/>
              </w:rPr>
              <w:t>Stacked Ensemble (RF + Gradient Boosting) + FastText + RSA Encryption</w:t>
            </w:r>
          </w:p>
        </w:tc>
        <w:tc>
          <w:tcPr>
            <w:tcW w:type="dxa" w:w="2592"/>
            <w:shd w:fill="FFFFFF"/>
            <w:tcMar>
              <w:top w:w="80" w:type="dxa"/>
              <w:bottom w:w="80" w:type="dxa"/>
              <w:left w:w="100" w:type="dxa"/>
              <w:right w:w="100" w:type="dxa"/>
            </w:tcMar>
          </w:tcPr>
          <w:p>
            <w:pPr>
              <w:jc w:val="left"/>
            </w:pPr>
            <w:r>
              <w:rPr>
                <w:sz w:val="18"/>
              </w:rPr>
              <w:t>Soil N-P-K, temperature, rainfall, crop yields</w:t>
            </w:r>
          </w:p>
        </w:tc>
        <w:tc>
          <w:tcPr>
            <w:tcW w:type="dxa" w:w="2448"/>
            <w:shd w:fill="FFFFFF"/>
            <w:tcMar>
              <w:top w:w="80" w:type="dxa"/>
              <w:bottom w:w="80" w:type="dxa"/>
              <w:left w:w="100" w:type="dxa"/>
              <w:right w:w="100" w:type="dxa"/>
            </w:tcMar>
          </w:tcPr>
          <w:p>
            <w:pPr>
              <w:jc w:val="left"/>
            </w:pPr>
            <w:r>
              <w:rPr>
                <w:sz w:val="18"/>
              </w:rPr>
              <w:t>99.32% accuracy, 99.26% F1-score; 0.024s FastText query response time.</w:t>
            </w:r>
          </w:p>
        </w:tc>
      </w:tr>
      <w:tr>
        <w:tc>
          <w:tcPr>
            <w:tcW w:type="dxa" w:w="2160"/>
            <w:shd w:fill="F8F9FA"/>
            <w:tcMar>
              <w:top w:w="80" w:type="dxa"/>
              <w:bottom w:w="80" w:type="dxa"/>
              <w:left w:w="100" w:type="dxa"/>
              <w:right w:w="100" w:type="dxa"/>
            </w:tcMar>
          </w:tcPr>
          <w:p>
            <w:pPr>
              <w:jc w:val="left"/>
            </w:pPr>
            <w:r>
              <w:rPr>
                <w:sz w:val="18"/>
              </w:rPr>
              <w:t>AgriTalk Multilingual</w:t>
              <w:br/>
              <w:t>(Abhishek et al., 2025) [4]</w:t>
            </w:r>
          </w:p>
        </w:tc>
        <w:tc>
          <w:tcPr>
            <w:tcW w:type="dxa" w:w="2592"/>
            <w:shd w:fill="F8F9FA"/>
            <w:tcMar>
              <w:top w:w="80" w:type="dxa"/>
              <w:bottom w:w="80" w:type="dxa"/>
              <w:left w:w="100" w:type="dxa"/>
              <w:right w:w="100" w:type="dxa"/>
            </w:tcMar>
          </w:tcPr>
          <w:p>
            <w:pPr>
              <w:jc w:val="left"/>
            </w:pPr>
            <w:r>
              <w:rPr>
                <w:sz w:val="18"/>
              </w:rPr>
              <w:t>AI4Bharat IndicTrans2 + Sentence-Transformers MiniLM + Cosine Sim Threshold</w:t>
            </w:r>
          </w:p>
        </w:tc>
        <w:tc>
          <w:tcPr>
            <w:tcW w:type="dxa" w:w="2592"/>
            <w:shd w:fill="F8F9FA"/>
            <w:tcMar>
              <w:top w:w="80" w:type="dxa"/>
              <w:bottom w:w="80" w:type="dxa"/>
              <w:left w:w="100" w:type="dxa"/>
              <w:right w:w="100" w:type="dxa"/>
            </w:tcMar>
          </w:tcPr>
          <w:p>
            <w:pPr>
              <w:jc w:val="left"/>
            </w:pPr>
            <w:r>
              <w:rPr>
                <w:sz w:val="18"/>
              </w:rPr>
              <w:t>Multilingual QA in Kannada, Telugu, Hindi, Malayalam</w:t>
            </w:r>
          </w:p>
        </w:tc>
        <w:tc>
          <w:tcPr>
            <w:tcW w:type="dxa" w:w="2448"/>
            <w:shd w:fill="F8F9FA"/>
            <w:tcMar>
              <w:top w:w="80" w:type="dxa"/>
              <w:bottom w:w="80" w:type="dxa"/>
              <w:left w:w="100" w:type="dxa"/>
              <w:right w:w="100" w:type="dxa"/>
            </w:tcMar>
          </w:tcPr>
          <w:p>
            <w:pPr>
              <w:jc w:val="left"/>
            </w:pPr>
            <w:r>
              <w:rPr>
                <w:sz w:val="18"/>
              </w:rPr>
              <w:t>High cross-lingual fidelity; voice-first interaction overcomes rural literacy gaps.</w:t>
            </w:r>
          </w:p>
        </w:tc>
      </w:tr>
      <w:tr>
        <w:tc>
          <w:tcPr>
            <w:tcW w:type="dxa" w:w="2160"/>
            <w:shd w:fill="FFFFFF"/>
            <w:tcMar>
              <w:top w:w="80" w:type="dxa"/>
              <w:bottom w:w="80" w:type="dxa"/>
              <w:left w:w="100" w:type="dxa"/>
              <w:right w:w="100" w:type="dxa"/>
            </w:tcMar>
          </w:tcPr>
          <w:p>
            <w:pPr>
              <w:jc w:val="left"/>
            </w:pPr>
            <w:r>
              <w:rPr>
                <w:sz w:val="18"/>
              </w:rPr>
              <w:t>Intelligent Agri Chatbot</w:t>
              <w:br/>
              <w:t>(Biswas &amp; Goel, 2023) [5]</w:t>
            </w:r>
          </w:p>
        </w:tc>
        <w:tc>
          <w:tcPr>
            <w:tcW w:type="dxa" w:w="2592"/>
            <w:shd w:fill="FFFFFF"/>
            <w:tcMar>
              <w:top w:w="80" w:type="dxa"/>
              <w:bottom w:w="80" w:type="dxa"/>
              <w:left w:w="100" w:type="dxa"/>
              <w:right w:w="100" w:type="dxa"/>
            </w:tcMar>
          </w:tcPr>
          <w:p>
            <w:pPr>
              <w:jc w:val="left"/>
            </w:pPr>
            <w:r>
              <w:rPr>
                <w:sz w:val="18"/>
              </w:rPr>
              <w:t>Sentence-Transformers + Pegasus + Mandi Live API + OpenWeatherMap REST</w:t>
            </w:r>
          </w:p>
        </w:tc>
        <w:tc>
          <w:tcPr>
            <w:tcW w:type="dxa" w:w="2592"/>
            <w:shd w:fill="FFFFFF"/>
            <w:tcMar>
              <w:top w:w="80" w:type="dxa"/>
              <w:bottom w:w="80" w:type="dxa"/>
              <w:left w:w="100" w:type="dxa"/>
              <w:right w:w="100" w:type="dxa"/>
            </w:tcMar>
          </w:tcPr>
          <w:p>
            <w:pPr>
              <w:jc w:val="left"/>
            </w:pPr>
            <w:r>
              <w:rPr>
                <w:sz w:val="18"/>
              </w:rPr>
              <w:t>KCC advisory dataset + national Agmarknet feeds</w:t>
            </w:r>
          </w:p>
        </w:tc>
        <w:tc>
          <w:tcPr>
            <w:tcW w:type="dxa" w:w="2448"/>
            <w:shd w:fill="FFFFFF"/>
            <w:tcMar>
              <w:top w:w="80" w:type="dxa"/>
              <w:bottom w:w="80" w:type="dxa"/>
              <w:left w:w="100" w:type="dxa"/>
              <w:right w:w="100" w:type="dxa"/>
            </w:tcMar>
          </w:tcPr>
          <w:p>
            <w:pPr>
              <w:jc w:val="left"/>
            </w:pPr>
            <w:r>
              <w:rPr>
                <w:sz w:val="18"/>
              </w:rPr>
              <w:t>96.0% accuracy on question mapping; live mandi pricing integration.</w:t>
            </w:r>
          </w:p>
        </w:tc>
      </w:tr>
      <w:tr>
        <w:tc>
          <w:tcPr>
            <w:tcW w:type="dxa" w:w="2160"/>
            <w:shd w:fill="F8F9FA"/>
            <w:tcMar>
              <w:top w:w="80" w:type="dxa"/>
              <w:bottom w:w="80" w:type="dxa"/>
              <w:left w:w="100" w:type="dxa"/>
              <w:right w:w="100" w:type="dxa"/>
            </w:tcMar>
          </w:tcPr>
          <w:p>
            <w:pPr>
              <w:jc w:val="left"/>
            </w:pPr>
            <w:r>
              <w:rPr>
                <w:sz w:val="18"/>
              </w:rPr>
              <w:t>Smart Agro E-Marketplace</w:t>
              <w:br/>
              <w:t>(Sedek et al., 2021) [6]</w:t>
            </w:r>
          </w:p>
        </w:tc>
        <w:tc>
          <w:tcPr>
            <w:tcW w:type="dxa" w:w="2592"/>
            <w:shd w:fill="F8F9FA"/>
            <w:tcMar>
              <w:top w:w="80" w:type="dxa"/>
              <w:bottom w:w="80" w:type="dxa"/>
              <w:left w:w="100" w:type="dxa"/>
              <w:right w:w="100" w:type="dxa"/>
            </w:tcMar>
          </w:tcPr>
          <w:p>
            <w:pPr>
              <w:jc w:val="left"/>
            </w:pPr>
            <w:r>
              <w:rPr>
                <w:sz w:val="18"/>
              </w:rPr>
              <w:t>4-Tier Cloud Data Platform (CDP: Ingestion, Storage, Processing via Spark, Serving)</w:t>
            </w:r>
          </w:p>
        </w:tc>
        <w:tc>
          <w:tcPr>
            <w:tcW w:type="dxa" w:w="2592"/>
            <w:shd w:fill="F8F9FA"/>
            <w:tcMar>
              <w:top w:w="80" w:type="dxa"/>
              <w:bottom w:w="80" w:type="dxa"/>
              <w:left w:w="100" w:type="dxa"/>
              <w:right w:w="100" w:type="dxa"/>
            </w:tcMar>
          </w:tcPr>
          <w:p>
            <w:pPr>
              <w:jc w:val="left"/>
            </w:pPr>
            <w:r>
              <w:rPr>
                <w:sz w:val="18"/>
              </w:rPr>
              <w:t>National Agro-Food Policy (NAFP) dataset in Malaysia</w:t>
            </w:r>
          </w:p>
        </w:tc>
        <w:tc>
          <w:tcPr>
            <w:tcW w:type="dxa" w:w="2448"/>
            <w:shd w:fill="F8F9FA"/>
            <w:tcMar>
              <w:top w:w="80" w:type="dxa"/>
              <w:bottom w:w="80" w:type="dxa"/>
              <w:left w:w="100" w:type="dxa"/>
              <w:right w:w="100" w:type="dxa"/>
            </w:tcMar>
          </w:tcPr>
          <w:p>
            <w:pPr>
              <w:jc w:val="left"/>
            </w:pPr>
            <w:r>
              <w:rPr>
                <w:sz w:val="18"/>
              </w:rPr>
              <w:t>Demonstrates CDP superior flexibility over rigid relational warehouses.</w:t>
            </w:r>
          </w:p>
        </w:tc>
      </w:tr>
      <w:tr>
        <w:tc>
          <w:tcPr>
            <w:tcW w:type="dxa" w:w="2160"/>
            <w:shd w:fill="FFFFFF"/>
            <w:tcMar>
              <w:top w:w="80" w:type="dxa"/>
              <w:bottom w:w="80" w:type="dxa"/>
              <w:left w:w="100" w:type="dxa"/>
              <w:right w:w="100" w:type="dxa"/>
            </w:tcMar>
          </w:tcPr>
          <w:p>
            <w:pPr>
              <w:jc w:val="left"/>
            </w:pPr>
            <w:r>
              <w:rPr>
                <w:sz w:val="18"/>
              </w:rPr>
              <w:t>Digital Farmgate Sector</w:t>
              <w:br/>
              <w:t>(Glaros et al., 2023) [7]</w:t>
            </w:r>
          </w:p>
        </w:tc>
        <w:tc>
          <w:tcPr>
            <w:tcW w:type="dxa" w:w="2592"/>
            <w:shd w:fill="FFFFFF"/>
            <w:tcMar>
              <w:top w:w="80" w:type="dxa"/>
              <w:bottom w:w="80" w:type="dxa"/>
              <w:left w:w="100" w:type="dxa"/>
              <w:right w:w="100" w:type="dxa"/>
            </w:tcMar>
          </w:tcPr>
          <w:p>
            <w:pPr>
              <w:jc w:val="left"/>
            </w:pPr>
            <w:r>
              <w:rPr>
                <w:sz w:val="18"/>
              </w:rPr>
              <w:t>Empirical case studies on digital farmgate platforms &amp; FAIR interoperability</w:t>
            </w:r>
          </w:p>
        </w:tc>
        <w:tc>
          <w:tcPr>
            <w:tcW w:type="dxa" w:w="2592"/>
            <w:shd w:fill="FFFFFF"/>
            <w:tcMar>
              <w:top w:w="80" w:type="dxa"/>
              <w:bottom w:w="80" w:type="dxa"/>
              <w:left w:w="100" w:type="dxa"/>
              <w:right w:w="100" w:type="dxa"/>
            </w:tcMar>
          </w:tcPr>
          <w:p>
            <w:pPr>
              <w:jc w:val="left"/>
            </w:pPr>
            <w:r>
              <w:rPr>
                <w:sz w:val="18"/>
              </w:rPr>
              <w:t>Ontario Open Food Network (~1,000 community initiatives)</w:t>
            </w:r>
          </w:p>
        </w:tc>
        <w:tc>
          <w:tcPr>
            <w:tcW w:type="dxa" w:w="2448"/>
            <w:shd w:fill="FFFFFF"/>
            <w:tcMar>
              <w:top w:w="80" w:type="dxa"/>
              <w:bottom w:w="80" w:type="dxa"/>
              <w:left w:w="100" w:type="dxa"/>
              <w:right w:w="100" w:type="dxa"/>
            </w:tcMar>
          </w:tcPr>
          <w:p>
            <w:pPr>
              <w:jc w:val="left"/>
            </w:pPr>
            <w:r>
              <w:rPr>
                <w:sz w:val="18"/>
              </w:rPr>
              <w:t>Identifies vendor lock-in; advocates for open REST API architectures.</w:t>
            </w:r>
          </w:p>
        </w:tc>
      </w:tr>
      <w:tr>
        <w:tc>
          <w:tcPr>
            <w:tcW w:type="dxa" w:w="2160"/>
            <w:shd w:fill="F8F9FA"/>
            <w:tcMar>
              <w:top w:w="80" w:type="dxa"/>
              <w:bottom w:w="80" w:type="dxa"/>
              <w:left w:w="100" w:type="dxa"/>
              <w:right w:w="100" w:type="dxa"/>
            </w:tcMar>
          </w:tcPr>
          <w:p>
            <w:pPr>
              <w:jc w:val="left"/>
            </w:pPr>
            <w:r>
              <w:rPr>
                <w:sz w:val="18"/>
              </w:rPr>
              <w:t>IoT Architecture for FMIS</w:t>
              <w:br/>
              <w:t>(Köksal &amp; Tekinerdogan, 2019) [8]</w:t>
            </w:r>
          </w:p>
        </w:tc>
        <w:tc>
          <w:tcPr>
            <w:tcW w:type="dxa" w:w="2592"/>
            <w:shd w:fill="F8F9FA"/>
            <w:tcMar>
              <w:top w:w="80" w:type="dxa"/>
              <w:bottom w:w="80" w:type="dxa"/>
              <w:left w:w="100" w:type="dxa"/>
              <w:right w:w="100" w:type="dxa"/>
            </w:tcMar>
          </w:tcPr>
          <w:p>
            <w:pPr>
              <w:jc w:val="left"/>
            </w:pPr>
            <w:r>
              <w:rPr>
                <w:sz w:val="18"/>
              </w:rPr>
              <w:t>Feature-Driven Domain Analysis (FDDA) + 7-Layer IoT/FMIS Reference Architecture</w:t>
            </w:r>
          </w:p>
        </w:tc>
        <w:tc>
          <w:tcPr>
            <w:tcW w:type="dxa" w:w="2592"/>
            <w:shd w:fill="F8F9FA"/>
            <w:tcMar>
              <w:top w:w="80" w:type="dxa"/>
              <w:bottom w:w="80" w:type="dxa"/>
              <w:left w:w="100" w:type="dxa"/>
              <w:right w:w="100" w:type="dxa"/>
            </w:tcMar>
          </w:tcPr>
          <w:p>
            <w:pPr>
              <w:jc w:val="left"/>
            </w:pPr>
            <w:r>
              <w:rPr>
                <w:sz w:val="18"/>
              </w:rPr>
              <w:t>Smart wheat in Konya &amp; smart greenhouses in Antalya</w:t>
            </w:r>
          </w:p>
        </w:tc>
        <w:tc>
          <w:tcPr>
            <w:tcW w:type="dxa" w:w="2448"/>
            <w:shd w:fill="F8F9FA"/>
            <w:tcMar>
              <w:top w:w="80" w:type="dxa"/>
              <w:bottom w:w="80" w:type="dxa"/>
              <w:left w:w="100" w:type="dxa"/>
              <w:right w:w="100" w:type="dxa"/>
            </w:tcMar>
          </w:tcPr>
          <w:p>
            <w:pPr>
              <w:jc w:val="left"/>
            </w:pPr>
            <w:r>
              <w:rPr>
                <w:sz w:val="18"/>
              </w:rPr>
              <w:t>Systematic architectural derivation for strict latency and security goals.</w:t>
            </w:r>
          </w:p>
        </w:tc>
      </w:tr>
    </w:tbl>
    <w:p>
      <w:pPr>
        <w:spacing w:after="240"/>
      </w:pPr>
    </w:p>
    <w:p>
      <w:pPr>
        <w:pStyle w:val="Heading1"/>
        <w:spacing w:before="360" w:after="240"/>
      </w:pPr>
      <w:r>
        <w:rPr>
          <w:rFonts w:ascii="Times New Roman" w:hAnsi="Times New Roman"/>
          <w:b/>
          <w:color w:val="1B365D"/>
          <w:sz w:val="30"/>
        </w:rPr>
        <w:t>CHAPTER 3: SOFTWARE REQUIREMENTS SPECIFICATION</w:t>
      </w:r>
    </w:p>
    <w:p>
      <w:pPr>
        <w:pStyle w:val="Heading2"/>
        <w:spacing w:before="280" w:after="120"/>
      </w:pPr>
      <w:r>
        <w:rPr>
          <w:rFonts w:ascii="Times New Roman" w:hAnsi="Times New Roman"/>
          <w:b/>
          <w:color w:val="1E4620"/>
          <w:sz w:val="25"/>
        </w:rPr>
        <w:t>3.1 User Personas &amp; System Stakeholders</w:t>
      </w:r>
    </w:p>
    <w:p>
      <w:r>
        <w:t>1. Farmer (Seller): Smallholder or commercial grower who catalogs harvest batches, sets unit prices, tracks active orders, and accesses multilingual agricultural advisories.</w:t>
        <w:br/>
        <w:t>2. Customer (Buyer): Retail resident, tech park professional, or restaurant procurement manager seeking fresh, traceable, organic produce with automated recommendations.</w:t>
        <w:br/>
        <w:t>3. Aggregator (Warehouse Operator): Regional cold-storage manager responsible for bulk procurement, quality checks, and batch temperature monitoring.</w:t>
        <w:br/>
        <w:t>4. Delivery Agent (Rider): Logistics personnel responsible for route pickup, proof-of-delivery OTP confirmation, and real-time status updates.</w:t>
        <w:br/>
        <w:t>5. System Administrator: Audits quality compliance, verifies farmer KYC documents, and monitors platform-wide analytics.</w:t>
      </w:r>
    </w:p>
    <w:p>
      <w:pPr>
        <w:pStyle w:val="Heading2"/>
        <w:spacing w:before="280" w:after="120"/>
      </w:pPr>
      <w:r>
        <w:rPr>
          <w:rFonts w:ascii="Times New Roman" w:hAnsi="Times New Roman"/>
          <w:b/>
          <w:color w:val="1E4620"/>
          <w:sz w:val="25"/>
        </w:rPr>
        <w:t>3.2 Detailed Functional Requirements (FR)</w:t>
      </w:r>
    </w:p>
    <w:p>
      <w:r>
        <w:t>• FR-01 (Role-Based Authentication): Multi-tenant authentication validating user credentials against five system roles (`FARMER`, `BUYER`, `AGGREGATOR`, `ADMIN`, `DELIVERY_AGENT`) with JWT session issuance.</w:t>
        <w:br/>
        <w:t>• FR-02 (Farmer Inventory Batching): Farmers can create, update, and manage harvest inventory batches with quantity, base price per unit, harvest date, and quality grades (`A+`, `A`, `B`).</w:t>
        <w:br/>
        <w:t>• FR-03 (Automated Listing Generation): Publishing an inventory item automatically generates a customer-facing marketplace listing with title, organic tags, and rating counters.</w:t>
        <w:br/>
        <w:t>• FR-04 (Hybrid Recommendation Engine): Provides personalized top-$K$ crop recommendations to buyers based on historical purchase, cart, and rating interaction vectors.</w:t>
        <w:br/>
        <w:t>• FR-05 (Cold-Start Recommendation Fallback): Automatically routes new/unregistered users to top-rated, location-proximate seasonal crops.</w:t>
        <w:br/>
        <w:t>• FR-06 (Multilingual Speech-to-Speech Advisory): Ingests spoken/text queries in Kannada, Telugu, Hindi, Malayalam, and English, returning factual RAG-grounded farming advice.</w:t>
        <w:br/>
        <w:t>• FR-07 (Cart &amp; Multi-Vendor Order Settlement): Buyers can aggregate items from multiple farmers into a unified cart, calculate dynamic delivery charges, and execute payments (UPI/Razorpay/COD).</w:t>
        <w:br/>
        <w:t>• FR-08 (Delivery Dispatch &amp; Tracking): Generates tracking codes (`BLR-NORTH-XXXXX`), logs transit milestones, and captures proof-of-delivery timestamps.</w:t>
        <w:br/>
        <w:t>• FR-09 (Cold-Hub Aggregation): Aggregators log storage intake, monitor capacity utilization (in tons), and record quality assurance inspections.</w:t>
        <w:br/>
        <w:t>• FR-10 (Review &amp; Rating Mechanism): Verified buyers can submit star ratings (1.0–5.0) and qualitative reviews post-delivery.</w:t>
        <w:br/>
        <w:t>• FR-11 (AI Pricing Logs): Real-time logging of ML fair-price benchmarks and market demand indicators.</w:t>
        <w:br/>
        <w:t>• FR-12 (Notification Engine): Dispatches real-time transactional alerts for order placement, dispatch, and bank settlements.</w:t>
      </w:r>
    </w:p>
    <w:p>
      <w:pPr>
        <w:pStyle w:val="Heading2"/>
        <w:spacing w:before="280" w:after="120"/>
      </w:pPr>
      <w:r>
        <w:rPr>
          <w:rFonts w:ascii="Times New Roman" w:hAnsi="Times New Roman"/>
          <w:b/>
          <w:color w:val="1E4620"/>
          <w:sz w:val="25"/>
        </w:rPr>
        <w:t>3.3 Non-Functional Requirements (NFR)</w:t>
      </w:r>
    </w:p>
    <w:p>
      <w:r>
        <w:t>• NFR-01 (Latency &amp; Performance): REST API endpoints must achieve a response latency of $&lt; 250\text{ ms}$ under nominal load. Speech-to-speech chatbot turnaround must be $\le 3.5\text{ s}$.</w:t>
        <w:br/>
        <w:t>• NFR-02 (Relational Normalization &amp; Integrity): The database must strictly maintain 3NF/BCNF standards with foreign key cascade controls, eliminating data anomalies.</w:t>
        <w:br/>
        <w:t>• NFR-03 (Scalability &amp; Throughput): The backend service must support $\ge 500$ concurrent user requests with asynchronous ASGI workers handling $\ge 650\text{ req/sec}$.</w:t>
        <w:br/>
        <w:t>• NFR-04 (Security &amp; Data Protection): All network traffic must be encrypted via TLS 1.3. User passwords must be hashed with bcrypt. Sensitive tokens must be stored in secure vaults.</w:t>
        <w:br/>
        <w:t>• NFR-05 (Availability &amp; Fault Tolerance): Uptime target of $\ge 99.9\%$, with automated database backups and graceful cold-start fallbacks for ML services.</w:t>
      </w:r>
    </w:p>
    <w:p>
      <w:pPr>
        <w:pStyle w:val="Heading1"/>
        <w:spacing w:before="360" w:after="240"/>
      </w:pPr>
      <w:r>
        <w:rPr>
          <w:rFonts w:ascii="Times New Roman" w:hAnsi="Times New Roman"/>
          <w:b/>
          <w:color w:val="1B365D"/>
          <w:sz w:val="30"/>
        </w:rPr>
        <w:t>CHAPTER 4: DATA ACQUISITION &amp; ENGINEERING PIPELINE</w:t>
      </w:r>
    </w:p>
    <w:p>
      <w:r>
        <w:t>To build an authentic peri-urban agricultural platform, AgriLink synthesizes three primary data pipelines:</w:t>
      </w:r>
    </w:p>
    <w:p>
      <w:r>
        <w:t>1. Government Agricultural Knowledge Repositories: Ingests 34 million historical call logs from the Kisan Call Centre (KCC), ICAR (Indian Council of Agricultural Research) technical advisories, and the national Agmarknet daily mandi wholesale pricing feeds.</w:t>
        <w:br/>
        <w:t>2. Curated Multidomain Agronomic Corpus: 5.92k documents compiled from land-grant university extensions (UC ANR, Cornell Cooperative Extension), FAO sustainable agricultural guidelines, and the AgroQA question-answering dataset covering soil management, pest control, irrigation, and animal husbandry.</w:t>
        <w:br/>
        <w:t>3. North Bengaluru Peri-Urban Field Telemetry: An empirically grounded dataset of 4,250+ relational records modeled across 18 domain entities, geographically anchored to key North Bengaluru production and consumer hubs.</w:t>
      </w:r>
    </w:p>
    <w:p>
      <w:pPr>
        <w:pStyle w:val="Heading1"/>
        <w:spacing w:before="360" w:after="240"/>
      </w:pPr>
      <w:r>
        <w:rPr>
          <w:rFonts w:ascii="Times New Roman" w:hAnsi="Times New Roman"/>
          <w:b/>
          <w:color w:val="1B365D"/>
          <w:sz w:val="30"/>
        </w:rPr>
        <w:t>CHAPTER 5: DATA DESCRIPTION &amp; FEATURE ENGINEERING</w:t>
      </w:r>
    </w:p>
    <w:p>
      <w:r>
        <w:t>The relational dataset was structured across 18 core database tables in Supabase PostgreSQL, ensuring balanced statistical distributions: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592"/>
            <w:shd w:fill="1B365D"/>
            <w:tcMar>
              <w:top w:w="100" w:type="dxa"/>
              <w:bottom w:w="100" w:type="dxa"/>
              <w:left w:w="80" w:type="dxa"/>
              <w:right w:w="80" w:type="dxa"/>
            </w:tcMar>
          </w:tcPr>
          <w:p>
            <w:pPr>
              <w:jc w:val="center"/>
            </w:pPr>
            <w:r>
              <w:rPr>
                <w:b/>
                <w:color w:val="FFFFFF"/>
                <w:sz w:val="19"/>
              </w:rPr>
              <w:t>Table Name</w:t>
            </w:r>
          </w:p>
        </w:tc>
        <w:tc>
          <w:tcPr>
            <w:tcW w:type="dxa" w:w="1440"/>
            <w:shd w:fill="1B365D"/>
            <w:tcMar>
              <w:top w:w="100" w:type="dxa"/>
              <w:bottom w:w="100" w:type="dxa"/>
              <w:left w:w="80" w:type="dxa"/>
              <w:right w:w="80" w:type="dxa"/>
            </w:tcMar>
          </w:tcPr>
          <w:p>
            <w:pPr>
              <w:jc w:val="center"/>
            </w:pPr>
            <w:r>
              <w:rPr>
                <w:b/>
                <w:color w:val="FFFFFF"/>
                <w:sz w:val="19"/>
              </w:rPr>
              <w:t>Record Count</w:t>
            </w:r>
          </w:p>
        </w:tc>
        <w:tc>
          <w:tcPr>
            <w:tcW w:type="dxa" w:w="3168"/>
            <w:shd w:fill="1B365D"/>
            <w:tcMar>
              <w:top w:w="100" w:type="dxa"/>
              <w:bottom w:w="100" w:type="dxa"/>
              <w:left w:w="80" w:type="dxa"/>
              <w:right w:w="80" w:type="dxa"/>
            </w:tcMar>
          </w:tcPr>
          <w:p>
            <w:pPr>
              <w:jc w:val="center"/>
            </w:pPr>
            <w:r>
              <w:rPr>
                <w:b/>
                <w:color w:val="FFFFFF"/>
                <w:sz w:val="19"/>
              </w:rPr>
              <w:t>Primary Attribute Columns</w:t>
            </w:r>
          </w:p>
        </w:tc>
        <w:tc>
          <w:tcPr>
            <w:tcW w:type="dxa" w:w="2592"/>
            <w:shd w:fill="1B365D"/>
            <w:tcMar>
              <w:top w:w="100" w:type="dxa"/>
              <w:bottom w:w="100" w:type="dxa"/>
              <w:left w:w="80" w:type="dxa"/>
              <w:right w:w="80" w:type="dxa"/>
            </w:tcMar>
          </w:tcPr>
          <w:p>
            <w:pPr>
              <w:jc w:val="center"/>
            </w:pPr>
            <w:r>
              <w:rPr>
                <w:b/>
                <w:color w:val="FFFFFF"/>
                <w:sz w:val="19"/>
              </w:rPr>
              <w:t>Integrity &amp; Constraint Rules</w:t>
            </w:r>
          </w:p>
        </w:tc>
      </w:tr>
      <w:tr>
        <w:tc>
          <w:tcPr>
            <w:tcW w:type="dxa" w:w="2592"/>
            <w:shd w:fill="FFFFFF"/>
            <w:tcMar>
              <w:top w:w="60" w:type="dxa"/>
              <w:bottom w:w="60" w:type="dxa"/>
              <w:left w:w="80" w:type="dxa"/>
              <w:right w:w="80" w:type="dxa"/>
            </w:tcMar>
          </w:tcPr>
          <w:p>
            <w:pPr>
              <w:jc w:val="left"/>
            </w:pPr>
            <w:r>
              <w:rPr>
                <w:sz w:val="17"/>
              </w:rPr>
              <w:t>role</w:t>
            </w:r>
          </w:p>
        </w:tc>
        <w:tc>
          <w:tcPr>
            <w:tcW w:type="dxa" w:w="1440"/>
            <w:shd w:fill="FFFFFF"/>
            <w:tcMar>
              <w:top w:w="60" w:type="dxa"/>
              <w:bottom w:w="60" w:type="dxa"/>
              <w:left w:w="80" w:type="dxa"/>
              <w:right w:w="80" w:type="dxa"/>
            </w:tcMar>
          </w:tcPr>
          <w:p>
            <w:pPr>
              <w:jc w:val="center"/>
            </w:pPr>
            <w:r>
              <w:rPr>
                <w:sz w:val="17"/>
              </w:rPr>
              <w:t>5</w:t>
            </w:r>
          </w:p>
        </w:tc>
        <w:tc>
          <w:tcPr>
            <w:tcW w:type="dxa" w:w="3168"/>
            <w:shd w:fill="FFFFFF"/>
            <w:tcMar>
              <w:top w:w="60" w:type="dxa"/>
              <w:bottom w:w="60" w:type="dxa"/>
              <w:left w:w="80" w:type="dxa"/>
              <w:right w:w="80" w:type="dxa"/>
            </w:tcMar>
          </w:tcPr>
          <w:p>
            <w:pPr>
              <w:jc w:val="left"/>
            </w:pPr>
            <w:r>
              <w:rPr>
                <w:sz w:val="17"/>
              </w:rPr>
              <w:t>role_id, role_name, role_description</w:t>
            </w:r>
          </w:p>
        </w:tc>
        <w:tc>
          <w:tcPr>
            <w:tcW w:type="dxa" w:w="2592"/>
            <w:shd w:fill="FFFFFF"/>
            <w:tcMar>
              <w:top w:w="60" w:type="dxa"/>
              <w:bottom w:w="60" w:type="dxa"/>
              <w:left w:w="80" w:type="dxa"/>
              <w:right w:w="80" w:type="dxa"/>
            </w:tcMar>
          </w:tcPr>
          <w:p>
            <w:pPr>
              <w:jc w:val="left"/>
            </w:pPr>
            <w:r>
              <w:rPr>
                <w:sz w:val="17"/>
              </w:rPr>
              <w:t>Unique role names; fixed system seeds</w:t>
            </w:r>
          </w:p>
        </w:tc>
      </w:tr>
      <w:tr>
        <w:tc>
          <w:tcPr>
            <w:tcW w:type="dxa" w:w="2592"/>
            <w:shd w:fill="F8F9FA"/>
            <w:tcMar>
              <w:top w:w="60" w:type="dxa"/>
              <w:bottom w:w="60" w:type="dxa"/>
              <w:left w:w="80" w:type="dxa"/>
              <w:right w:w="80" w:type="dxa"/>
            </w:tcMar>
          </w:tcPr>
          <w:p>
            <w:pPr>
              <w:jc w:val="left"/>
            </w:pPr>
            <w:r>
              <w:rPr>
                <w:sz w:val="17"/>
              </w:rPr>
              <w:t>location</w:t>
            </w:r>
          </w:p>
        </w:tc>
        <w:tc>
          <w:tcPr>
            <w:tcW w:type="dxa" w:w="1440"/>
            <w:shd w:fill="F8F9FA"/>
            <w:tcMar>
              <w:top w:w="60" w:type="dxa"/>
              <w:bottom w:w="60" w:type="dxa"/>
              <w:left w:w="80" w:type="dxa"/>
              <w:right w:w="80" w:type="dxa"/>
            </w:tcMar>
          </w:tcPr>
          <w:p>
            <w:pPr>
              <w:jc w:val="center"/>
            </w:pPr>
            <w:r>
              <w:rPr>
                <w:sz w:val="17"/>
              </w:rPr>
              <w:t>160</w:t>
            </w:r>
          </w:p>
        </w:tc>
        <w:tc>
          <w:tcPr>
            <w:tcW w:type="dxa" w:w="3168"/>
            <w:shd w:fill="F8F9FA"/>
            <w:tcMar>
              <w:top w:w="60" w:type="dxa"/>
              <w:bottom w:w="60" w:type="dxa"/>
              <w:left w:w="80" w:type="dxa"/>
              <w:right w:w="80" w:type="dxa"/>
            </w:tcMar>
          </w:tcPr>
          <w:p>
            <w:pPr>
              <w:jc w:val="left"/>
            </w:pPr>
            <w:r>
              <w:rPr>
                <w:sz w:val="17"/>
              </w:rPr>
              <w:t>location_id, address_line1, city, pincode, lat, lon</w:t>
            </w:r>
          </w:p>
        </w:tc>
        <w:tc>
          <w:tcPr>
            <w:tcW w:type="dxa" w:w="2592"/>
            <w:shd w:fill="F8F9FA"/>
            <w:tcMar>
              <w:top w:w="60" w:type="dxa"/>
              <w:bottom w:w="60" w:type="dxa"/>
              <w:left w:w="80" w:type="dxa"/>
              <w:right w:w="80" w:type="dxa"/>
            </w:tcMar>
          </w:tcPr>
          <w:p>
            <w:pPr>
              <w:jc w:val="left"/>
            </w:pPr>
            <w:r>
              <w:rPr>
                <w:sz w:val="17"/>
              </w:rPr>
              <w:t>North BLR bounds: 12.98N-13.35N, 77.50E-77.75E</w:t>
            </w:r>
          </w:p>
        </w:tc>
      </w:tr>
      <w:tr>
        <w:tc>
          <w:tcPr>
            <w:tcW w:type="dxa" w:w="2592"/>
            <w:shd w:fill="FFFFFF"/>
            <w:tcMar>
              <w:top w:w="60" w:type="dxa"/>
              <w:bottom w:w="60" w:type="dxa"/>
              <w:left w:w="80" w:type="dxa"/>
              <w:right w:w="80" w:type="dxa"/>
            </w:tcMar>
          </w:tcPr>
          <w:p>
            <w:pPr>
              <w:jc w:val="left"/>
            </w:pPr>
            <w:r>
              <w:rPr>
                <w:sz w:val="17"/>
              </w:rPr>
              <w:t>crop_category</w:t>
            </w:r>
          </w:p>
        </w:tc>
        <w:tc>
          <w:tcPr>
            <w:tcW w:type="dxa" w:w="1440"/>
            <w:shd w:fill="FFFFFF"/>
            <w:tcMar>
              <w:top w:w="60" w:type="dxa"/>
              <w:bottom w:w="60" w:type="dxa"/>
              <w:left w:w="80" w:type="dxa"/>
              <w:right w:w="80" w:type="dxa"/>
            </w:tcMar>
          </w:tcPr>
          <w:p>
            <w:pPr>
              <w:jc w:val="center"/>
            </w:pPr>
            <w:r>
              <w:rPr>
                <w:sz w:val="17"/>
              </w:rPr>
              <w:t>5</w:t>
            </w:r>
          </w:p>
        </w:tc>
        <w:tc>
          <w:tcPr>
            <w:tcW w:type="dxa" w:w="3168"/>
            <w:shd w:fill="FFFFFF"/>
            <w:tcMar>
              <w:top w:w="60" w:type="dxa"/>
              <w:bottom w:w="60" w:type="dxa"/>
              <w:left w:w="80" w:type="dxa"/>
              <w:right w:w="80" w:type="dxa"/>
            </w:tcMar>
          </w:tcPr>
          <w:p>
            <w:pPr>
              <w:jc w:val="left"/>
            </w:pPr>
            <w:r>
              <w:rPr>
                <w:sz w:val="17"/>
              </w:rPr>
              <w:t>category_id, category_name, description</w:t>
            </w:r>
          </w:p>
        </w:tc>
        <w:tc>
          <w:tcPr>
            <w:tcW w:type="dxa" w:w="2592"/>
            <w:shd w:fill="FFFFFF"/>
            <w:tcMar>
              <w:top w:w="60" w:type="dxa"/>
              <w:bottom w:w="60" w:type="dxa"/>
              <w:left w:w="80" w:type="dxa"/>
              <w:right w:w="80" w:type="dxa"/>
            </w:tcMar>
          </w:tcPr>
          <w:p>
            <w:pPr>
              <w:jc w:val="left"/>
            </w:pPr>
            <w:r>
              <w:rPr>
                <w:sz w:val="17"/>
              </w:rPr>
              <w:t>Deterministic UUIDs (6000...0001 to 0005)</w:t>
            </w:r>
          </w:p>
        </w:tc>
      </w:tr>
      <w:tr>
        <w:tc>
          <w:tcPr>
            <w:tcW w:type="dxa" w:w="2592"/>
            <w:shd w:fill="F8F9FA"/>
            <w:tcMar>
              <w:top w:w="60" w:type="dxa"/>
              <w:bottom w:w="60" w:type="dxa"/>
              <w:left w:w="80" w:type="dxa"/>
              <w:right w:w="80" w:type="dxa"/>
            </w:tcMar>
          </w:tcPr>
          <w:p>
            <w:pPr>
              <w:jc w:val="left"/>
            </w:pPr>
            <w:r>
              <w:rPr>
                <w:sz w:val="17"/>
              </w:rPr>
              <w:t>crop</w:t>
            </w:r>
          </w:p>
        </w:tc>
        <w:tc>
          <w:tcPr>
            <w:tcW w:type="dxa" w:w="1440"/>
            <w:shd w:fill="F8F9FA"/>
            <w:tcMar>
              <w:top w:w="60" w:type="dxa"/>
              <w:bottom w:w="60" w:type="dxa"/>
              <w:left w:w="80" w:type="dxa"/>
              <w:right w:w="80" w:type="dxa"/>
            </w:tcMar>
          </w:tcPr>
          <w:p>
            <w:pPr>
              <w:jc w:val="center"/>
            </w:pPr>
            <w:r>
              <w:rPr>
                <w:sz w:val="17"/>
              </w:rPr>
              <w:t>26</w:t>
            </w:r>
          </w:p>
        </w:tc>
        <w:tc>
          <w:tcPr>
            <w:tcW w:type="dxa" w:w="3168"/>
            <w:shd w:fill="F8F9FA"/>
            <w:tcMar>
              <w:top w:w="60" w:type="dxa"/>
              <w:bottom w:w="60" w:type="dxa"/>
              <w:left w:w="80" w:type="dxa"/>
              <w:right w:w="80" w:type="dxa"/>
            </w:tcMar>
          </w:tcPr>
          <w:p>
            <w:pPr>
              <w:jc w:val="left"/>
            </w:pPr>
            <w:r>
              <w:rPr>
                <w:sz w:val="17"/>
              </w:rPr>
              <w:t>crop_id, category_id, crop_name, unit, is_perishable</w:t>
            </w:r>
          </w:p>
        </w:tc>
        <w:tc>
          <w:tcPr>
            <w:tcW w:type="dxa" w:w="2592"/>
            <w:shd w:fill="F8F9FA"/>
            <w:tcMar>
              <w:top w:w="60" w:type="dxa"/>
              <w:bottom w:w="60" w:type="dxa"/>
              <w:left w:w="80" w:type="dxa"/>
              <w:right w:w="80" w:type="dxa"/>
            </w:tcMar>
          </w:tcPr>
          <w:p>
            <w:pPr>
              <w:jc w:val="left"/>
            </w:pPr>
            <w:r>
              <w:rPr>
                <w:sz w:val="17"/>
              </w:rPr>
              <w:t>Units: kg, dozen, bunch, litre, piece</w:t>
            </w:r>
          </w:p>
        </w:tc>
      </w:tr>
      <w:tr>
        <w:tc>
          <w:tcPr>
            <w:tcW w:type="dxa" w:w="2592"/>
            <w:shd w:fill="FFFFFF"/>
            <w:tcMar>
              <w:top w:w="60" w:type="dxa"/>
              <w:bottom w:w="60" w:type="dxa"/>
              <w:left w:w="80" w:type="dxa"/>
              <w:right w:w="80" w:type="dxa"/>
            </w:tcMar>
          </w:tcPr>
          <w:p>
            <w:pPr>
              <w:jc w:val="left"/>
            </w:pPr>
            <w:r>
              <w:rPr>
                <w:sz w:val="17"/>
              </w:rPr>
              <w:t>app_user</w:t>
            </w:r>
          </w:p>
        </w:tc>
        <w:tc>
          <w:tcPr>
            <w:tcW w:type="dxa" w:w="1440"/>
            <w:shd w:fill="FFFFFF"/>
            <w:tcMar>
              <w:top w:w="60" w:type="dxa"/>
              <w:bottom w:w="60" w:type="dxa"/>
              <w:left w:w="80" w:type="dxa"/>
              <w:right w:w="80" w:type="dxa"/>
            </w:tcMar>
          </w:tcPr>
          <w:p>
            <w:pPr>
              <w:jc w:val="center"/>
            </w:pPr>
            <w:r>
              <w:rPr>
                <w:sz w:val="17"/>
              </w:rPr>
              <w:t>300</w:t>
            </w:r>
          </w:p>
        </w:tc>
        <w:tc>
          <w:tcPr>
            <w:tcW w:type="dxa" w:w="3168"/>
            <w:shd w:fill="FFFFFF"/>
            <w:tcMar>
              <w:top w:w="60" w:type="dxa"/>
              <w:bottom w:w="60" w:type="dxa"/>
              <w:left w:w="80" w:type="dxa"/>
              <w:right w:w="80" w:type="dxa"/>
            </w:tcMar>
          </w:tcPr>
          <w:p>
            <w:pPr>
              <w:jc w:val="left"/>
            </w:pPr>
            <w:r>
              <w:rPr>
                <w:sz w:val="17"/>
              </w:rPr>
              <w:t>user_id, role_id, location_id, email, phone, full_name</w:t>
            </w:r>
          </w:p>
        </w:tc>
        <w:tc>
          <w:tcPr>
            <w:tcW w:type="dxa" w:w="2592"/>
            <w:shd w:fill="FFFFFF"/>
            <w:tcMar>
              <w:top w:w="60" w:type="dxa"/>
              <w:bottom w:w="60" w:type="dxa"/>
              <w:left w:w="80" w:type="dxa"/>
              <w:right w:w="80" w:type="dxa"/>
            </w:tcMar>
          </w:tcPr>
          <w:p>
            <w:pPr>
              <w:jc w:val="left"/>
            </w:pPr>
            <w:r>
              <w:rPr>
                <w:sz w:val="17"/>
              </w:rPr>
              <w:t>Unique email/phone; foreign keys to role/loc</w:t>
            </w:r>
          </w:p>
        </w:tc>
      </w:tr>
      <w:tr>
        <w:tc>
          <w:tcPr>
            <w:tcW w:type="dxa" w:w="2592"/>
            <w:shd w:fill="F8F9FA"/>
            <w:tcMar>
              <w:top w:w="60" w:type="dxa"/>
              <w:bottom w:w="60" w:type="dxa"/>
              <w:left w:w="80" w:type="dxa"/>
              <w:right w:w="80" w:type="dxa"/>
            </w:tcMar>
          </w:tcPr>
          <w:p>
            <w:pPr>
              <w:jc w:val="left"/>
            </w:pPr>
            <w:r>
              <w:rPr>
                <w:sz w:val="17"/>
              </w:rPr>
              <w:t>farmer_profile</w:t>
            </w:r>
          </w:p>
        </w:tc>
        <w:tc>
          <w:tcPr>
            <w:tcW w:type="dxa" w:w="1440"/>
            <w:shd w:fill="F8F9FA"/>
            <w:tcMar>
              <w:top w:w="60" w:type="dxa"/>
              <w:bottom w:w="60" w:type="dxa"/>
              <w:left w:w="80" w:type="dxa"/>
              <w:right w:w="80" w:type="dxa"/>
            </w:tcMar>
          </w:tcPr>
          <w:p>
            <w:pPr>
              <w:jc w:val="center"/>
            </w:pPr>
            <w:r>
              <w:rPr>
                <w:sz w:val="17"/>
              </w:rPr>
              <w:t>150</w:t>
            </w:r>
          </w:p>
        </w:tc>
        <w:tc>
          <w:tcPr>
            <w:tcW w:type="dxa" w:w="3168"/>
            <w:shd w:fill="F8F9FA"/>
            <w:tcMar>
              <w:top w:w="60" w:type="dxa"/>
              <w:bottom w:w="60" w:type="dxa"/>
              <w:left w:w="80" w:type="dxa"/>
              <w:right w:w="80" w:type="dxa"/>
            </w:tcMar>
          </w:tcPr>
          <w:p>
            <w:pPr>
              <w:jc w:val="left"/>
            </w:pPr>
            <w:r>
              <w:rPr>
                <w:sz w:val="17"/>
              </w:rPr>
              <w:t>farmer_id, user_id, farm_size_acres, primary_crops</w:t>
            </w:r>
          </w:p>
        </w:tc>
        <w:tc>
          <w:tcPr>
            <w:tcW w:type="dxa" w:w="2592"/>
            <w:shd w:fill="F8F9FA"/>
            <w:tcMar>
              <w:top w:w="60" w:type="dxa"/>
              <w:bottom w:w="60" w:type="dxa"/>
              <w:left w:w="80" w:type="dxa"/>
              <w:right w:w="80" w:type="dxa"/>
            </w:tcMar>
          </w:tcPr>
          <w:p>
            <w:pPr>
              <w:jc w:val="left"/>
            </w:pPr>
            <w:r>
              <w:rPr>
                <w:sz w:val="17"/>
              </w:rPr>
              <w:t>1:1 mapping with app_user; verified KYC status</w:t>
            </w:r>
          </w:p>
        </w:tc>
      </w:tr>
      <w:tr>
        <w:tc>
          <w:tcPr>
            <w:tcW w:type="dxa" w:w="2592"/>
            <w:shd w:fill="FFFFFF"/>
            <w:tcMar>
              <w:top w:w="60" w:type="dxa"/>
              <w:bottom w:w="60" w:type="dxa"/>
              <w:left w:w="80" w:type="dxa"/>
              <w:right w:w="80" w:type="dxa"/>
            </w:tcMar>
          </w:tcPr>
          <w:p>
            <w:pPr>
              <w:jc w:val="left"/>
            </w:pPr>
            <w:r>
              <w:rPr>
                <w:sz w:val="17"/>
              </w:rPr>
              <w:t>customer_profile</w:t>
            </w:r>
          </w:p>
        </w:tc>
        <w:tc>
          <w:tcPr>
            <w:tcW w:type="dxa" w:w="1440"/>
            <w:shd w:fill="FFFFFF"/>
            <w:tcMar>
              <w:top w:w="60" w:type="dxa"/>
              <w:bottom w:w="60" w:type="dxa"/>
              <w:left w:w="80" w:type="dxa"/>
              <w:right w:w="80" w:type="dxa"/>
            </w:tcMar>
          </w:tcPr>
          <w:p>
            <w:pPr>
              <w:jc w:val="center"/>
            </w:pPr>
            <w:r>
              <w:rPr>
                <w:sz w:val="17"/>
              </w:rPr>
              <w:t>100</w:t>
            </w:r>
          </w:p>
        </w:tc>
        <w:tc>
          <w:tcPr>
            <w:tcW w:type="dxa" w:w="3168"/>
            <w:shd w:fill="FFFFFF"/>
            <w:tcMar>
              <w:top w:w="60" w:type="dxa"/>
              <w:bottom w:w="60" w:type="dxa"/>
              <w:left w:w="80" w:type="dxa"/>
              <w:right w:w="80" w:type="dxa"/>
            </w:tcMar>
          </w:tcPr>
          <w:p>
            <w:pPr>
              <w:jc w:val="left"/>
            </w:pPr>
            <w:r>
              <w:rPr>
                <w:sz w:val="17"/>
              </w:rPr>
              <w:t>customer_id, user_id, customer_type, category_pref</w:t>
            </w:r>
          </w:p>
        </w:tc>
        <w:tc>
          <w:tcPr>
            <w:tcW w:type="dxa" w:w="2592"/>
            <w:shd w:fill="FFFFFF"/>
            <w:tcMar>
              <w:top w:w="60" w:type="dxa"/>
              <w:bottom w:w="60" w:type="dxa"/>
              <w:left w:w="80" w:type="dxa"/>
              <w:right w:w="80" w:type="dxa"/>
            </w:tcMar>
          </w:tcPr>
          <w:p>
            <w:pPr>
              <w:jc w:val="left"/>
            </w:pPr>
            <w:r>
              <w:rPr>
                <w:sz w:val="17"/>
              </w:rPr>
              <w:t>Types: Resident, Tech Pro, Restaurant, Store</w:t>
            </w:r>
          </w:p>
        </w:tc>
      </w:tr>
      <w:tr>
        <w:tc>
          <w:tcPr>
            <w:tcW w:type="dxa" w:w="2592"/>
            <w:shd w:fill="F8F9FA"/>
            <w:tcMar>
              <w:top w:w="60" w:type="dxa"/>
              <w:bottom w:w="60" w:type="dxa"/>
              <w:left w:w="80" w:type="dxa"/>
              <w:right w:w="80" w:type="dxa"/>
            </w:tcMar>
          </w:tcPr>
          <w:p>
            <w:pPr>
              <w:jc w:val="left"/>
            </w:pPr>
            <w:r>
              <w:rPr>
                <w:sz w:val="17"/>
              </w:rPr>
              <w:t>aggregator_profile</w:t>
            </w:r>
          </w:p>
        </w:tc>
        <w:tc>
          <w:tcPr>
            <w:tcW w:type="dxa" w:w="1440"/>
            <w:shd w:fill="F8F9FA"/>
            <w:tcMar>
              <w:top w:w="60" w:type="dxa"/>
              <w:bottom w:w="60" w:type="dxa"/>
              <w:left w:w="80" w:type="dxa"/>
              <w:right w:w="80" w:type="dxa"/>
            </w:tcMar>
          </w:tcPr>
          <w:p>
            <w:pPr>
              <w:jc w:val="center"/>
            </w:pPr>
            <w:r>
              <w:rPr>
                <w:sz w:val="17"/>
              </w:rPr>
              <w:t>30</w:t>
            </w:r>
          </w:p>
        </w:tc>
        <w:tc>
          <w:tcPr>
            <w:tcW w:type="dxa" w:w="3168"/>
            <w:shd w:fill="F8F9FA"/>
            <w:tcMar>
              <w:top w:w="60" w:type="dxa"/>
              <w:bottom w:w="60" w:type="dxa"/>
              <w:left w:w="80" w:type="dxa"/>
              <w:right w:w="80" w:type="dxa"/>
            </w:tcMar>
          </w:tcPr>
          <w:p>
            <w:pPr>
              <w:jc w:val="left"/>
            </w:pPr>
            <w:r>
              <w:rPr>
                <w:sz w:val="17"/>
              </w:rPr>
              <w:t>aggregator_id, user_id, hub_name, capacity_tons</w:t>
            </w:r>
          </w:p>
        </w:tc>
        <w:tc>
          <w:tcPr>
            <w:tcW w:type="dxa" w:w="2592"/>
            <w:shd w:fill="F8F9FA"/>
            <w:tcMar>
              <w:top w:w="60" w:type="dxa"/>
              <w:bottom w:w="60" w:type="dxa"/>
              <w:left w:w="80" w:type="dxa"/>
              <w:right w:w="80" w:type="dxa"/>
            </w:tcMar>
          </w:tcPr>
          <w:p>
            <w:pPr>
              <w:jc w:val="left"/>
            </w:pPr>
            <w:r>
              <w:rPr>
                <w:sz w:val="17"/>
              </w:rPr>
              <w:t>North BLR cold hubs (Yelahanka, Devanahalli)</w:t>
            </w:r>
          </w:p>
        </w:tc>
      </w:tr>
      <w:tr>
        <w:tc>
          <w:tcPr>
            <w:tcW w:type="dxa" w:w="2592"/>
            <w:shd w:fill="FFFFFF"/>
            <w:tcMar>
              <w:top w:w="60" w:type="dxa"/>
              <w:bottom w:w="60" w:type="dxa"/>
              <w:left w:w="80" w:type="dxa"/>
              <w:right w:w="80" w:type="dxa"/>
            </w:tcMar>
          </w:tcPr>
          <w:p>
            <w:pPr>
              <w:jc w:val="left"/>
            </w:pPr>
            <w:r>
              <w:rPr>
                <w:sz w:val="17"/>
              </w:rPr>
              <w:t>inventory_item</w:t>
            </w:r>
          </w:p>
        </w:tc>
        <w:tc>
          <w:tcPr>
            <w:tcW w:type="dxa" w:w="1440"/>
            <w:shd w:fill="FFFFFF"/>
            <w:tcMar>
              <w:top w:w="60" w:type="dxa"/>
              <w:bottom w:w="60" w:type="dxa"/>
              <w:left w:w="80" w:type="dxa"/>
              <w:right w:w="80" w:type="dxa"/>
            </w:tcMar>
          </w:tcPr>
          <w:p>
            <w:pPr>
              <w:jc w:val="center"/>
            </w:pPr>
            <w:r>
              <w:rPr>
                <w:sz w:val="17"/>
              </w:rPr>
              <w:t>350</w:t>
            </w:r>
          </w:p>
        </w:tc>
        <w:tc>
          <w:tcPr>
            <w:tcW w:type="dxa" w:w="3168"/>
            <w:shd w:fill="FFFFFF"/>
            <w:tcMar>
              <w:top w:w="60" w:type="dxa"/>
              <w:bottom w:w="60" w:type="dxa"/>
              <w:left w:w="80" w:type="dxa"/>
              <w:right w:w="80" w:type="dxa"/>
            </w:tcMar>
          </w:tcPr>
          <w:p>
            <w:pPr>
              <w:jc w:val="left"/>
            </w:pPr>
            <w:r>
              <w:rPr>
                <w:sz w:val="17"/>
              </w:rPr>
              <w:t>inventory_id, farmer_id, crop_id, qty, price, grade</w:t>
            </w:r>
          </w:p>
        </w:tc>
        <w:tc>
          <w:tcPr>
            <w:tcW w:type="dxa" w:w="2592"/>
            <w:shd w:fill="FFFFFF"/>
            <w:tcMar>
              <w:top w:w="60" w:type="dxa"/>
              <w:bottom w:w="60" w:type="dxa"/>
              <w:left w:w="80" w:type="dxa"/>
              <w:right w:w="80" w:type="dxa"/>
            </w:tcMar>
          </w:tcPr>
          <w:p>
            <w:pPr>
              <w:jc w:val="left"/>
            </w:pPr>
            <w:r>
              <w:rPr>
                <w:sz w:val="17"/>
              </w:rPr>
              <w:t>Grade constrained to VARCHAR(10): A+, A, B</w:t>
            </w:r>
          </w:p>
        </w:tc>
      </w:tr>
      <w:tr>
        <w:tc>
          <w:tcPr>
            <w:tcW w:type="dxa" w:w="2592"/>
            <w:shd w:fill="F8F9FA"/>
            <w:tcMar>
              <w:top w:w="60" w:type="dxa"/>
              <w:bottom w:w="60" w:type="dxa"/>
              <w:left w:w="80" w:type="dxa"/>
              <w:right w:w="80" w:type="dxa"/>
            </w:tcMar>
          </w:tcPr>
          <w:p>
            <w:pPr>
              <w:jc w:val="left"/>
            </w:pPr>
            <w:r>
              <w:rPr>
                <w:sz w:val="17"/>
              </w:rPr>
              <w:t>seller_listing</w:t>
            </w:r>
          </w:p>
        </w:tc>
        <w:tc>
          <w:tcPr>
            <w:tcW w:type="dxa" w:w="1440"/>
            <w:shd w:fill="F8F9FA"/>
            <w:tcMar>
              <w:top w:w="60" w:type="dxa"/>
              <w:bottom w:w="60" w:type="dxa"/>
              <w:left w:w="80" w:type="dxa"/>
              <w:right w:w="80" w:type="dxa"/>
            </w:tcMar>
          </w:tcPr>
          <w:p>
            <w:pPr>
              <w:jc w:val="center"/>
            </w:pPr>
            <w:r>
              <w:rPr>
                <w:sz w:val="17"/>
              </w:rPr>
              <w:t>350</w:t>
            </w:r>
          </w:p>
        </w:tc>
        <w:tc>
          <w:tcPr>
            <w:tcW w:type="dxa" w:w="3168"/>
            <w:shd w:fill="F8F9FA"/>
            <w:tcMar>
              <w:top w:w="60" w:type="dxa"/>
              <w:bottom w:w="60" w:type="dxa"/>
              <w:left w:w="80" w:type="dxa"/>
              <w:right w:w="80" w:type="dxa"/>
            </w:tcMar>
          </w:tcPr>
          <w:p>
            <w:pPr>
              <w:jc w:val="left"/>
            </w:pPr>
            <w:r>
              <w:rPr>
                <w:sz w:val="17"/>
              </w:rPr>
              <w:t>listing_id, inventory_id, title, is_organic, rating</w:t>
            </w:r>
          </w:p>
        </w:tc>
        <w:tc>
          <w:tcPr>
            <w:tcW w:type="dxa" w:w="2592"/>
            <w:shd w:fill="F8F9FA"/>
            <w:tcMar>
              <w:top w:w="60" w:type="dxa"/>
              <w:bottom w:w="60" w:type="dxa"/>
              <w:left w:w="80" w:type="dxa"/>
              <w:right w:w="80" w:type="dxa"/>
            </w:tcMar>
          </w:tcPr>
          <w:p>
            <w:pPr>
              <w:jc w:val="left"/>
            </w:pPr>
            <w:r>
              <w:rPr>
                <w:sz w:val="17"/>
              </w:rPr>
              <w:t>Average ratings: 4.30 - 5.00 stars</w:t>
            </w:r>
          </w:p>
        </w:tc>
      </w:tr>
      <w:tr>
        <w:tc>
          <w:tcPr>
            <w:tcW w:type="dxa" w:w="2592"/>
            <w:shd w:fill="FFFFFF"/>
            <w:tcMar>
              <w:top w:w="60" w:type="dxa"/>
              <w:bottom w:w="60" w:type="dxa"/>
              <w:left w:w="80" w:type="dxa"/>
              <w:right w:w="80" w:type="dxa"/>
            </w:tcMar>
          </w:tcPr>
          <w:p>
            <w:pPr>
              <w:jc w:val="left"/>
            </w:pPr>
            <w:r>
              <w:rPr>
                <w:sz w:val="17"/>
              </w:rPr>
              <w:t>customer_order</w:t>
            </w:r>
          </w:p>
        </w:tc>
        <w:tc>
          <w:tcPr>
            <w:tcW w:type="dxa" w:w="1440"/>
            <w:shd w:fill="FFFFFF"/>
            <w:tcMar>
              <w:top w:w="60" w:type="dxa"/>
              <w:bottom w:w="60" w:type="dxa"/>
              <w:left w:w="80" w:type="dxa"/>
              <w:right w:w="80" w:type="dxa"/>
            </w:tcMar>
          </w:tcPr>
          <w:p>
            <w:pPr>
              <w:jc w:val="center"/>
            </w:pPr>
            <w:r>
              <w:rPr>
                <w:sz w:val="17"/>
              </w:rPr>
              <w:t>300</w:t>
            </w:r>
          </w:p>
        </w:tc>
        <w:tc>
          <w:tcPr>
            <w:tcW w:type="dxa" w:w="3168"/>
            <w:shd w:fill="FFFFFF"/>
            <w:tcMar>
              <w:top w:w="60" w:type="dxa"/>
              <w:bottom w:w="60" w:type="dxa"/>
              <w:left w:w="80" w:type="dxa"/>
              <w:right w:w="80" w:type="dxa"/>
            </w:tcMar>
          </w:tcPr>
          <w:p>
            <w:pPr>
              <w:jc w:val="left"/>
            </w:pPr>
            <w:r>
              <w:rPr>
                <w:sz w:val="17"/>
              </w:rPr>
              <w:t>order_id, customer_id, total_amount, order_status</w:t>
            </w:r>
          </w:p>
        </w:tc>
        <w:tc>
          <w:tcPr>
            <w:tcW w:type="dxa" w:w="2592"/>
            <w:shd w:fill="FFFFFF"/>
            <w:tcMar>
              <w:top w:w="60" w:type="dxa"/>
              <w:bottom w:w="60" w:type="dxa"/>
              <w:left w:w="80" w:type="dxa"/>
              <w:right w:w="80" w:type="dxa"/>
            </w:tcMar>
          </w:tcPr>
          <w:p>
            <w:pPr>
              <w:jc w:val="left"/>
            </w:pPr>
            <w:r>
              <w:rPr>
                <w:sz w:val="17"/>
              </w:rPr>
              <w:t>Status: PAID, IN_TRANSIT, DELIVERED</w:t>
            </w:r>
          </w:p>
        </w:tc>
      </w:tr>
      <w:tr>
        <w:tc>
          <w:tcPr>
            <w:tcW w:type="dxa" w:w="2592"/>
            <w:shd w:fill="F8F9FA"/>
            <w:tcMar>
              <w:top w:w="60" w:type="dxa"/>
              <w:bottom w:w="60" w:type="dxa"/>
              <w:left w:w="80" w:type="dxa"/>
              <w:right w:w="80" w:type="dxa"/>
            </w:tcMar>
          </w:tcPr>
          <w:p>
            <w:pPr>
              <w:jc w:val="left"/>
            </w:pPr>
            <w:r>
              <w:rPr>
                <w:sz w:val="17"/>
              </w:rPr>
              <w:t>order_item</w:t>
            </w:r>
          </w:p>
        </w:tc>
        <w:tc>
          <w:tcPr>
            <w:tcW w:type="dxa" w:w="1440"/>
            <w:shd w:fill="F8F9FA"/>
            <w:tcMar>
              <w:top w:w="60" w:type="dxa"/>
              <w:bottom w:w="60" w:type="dxa"/>
              <w:left w:w="80" w:type="dxa"/>
              <w:right w:w="80" w:type="dxa"/>
            </w:tcMar>
          </w:tcPr>
          <w:p>
            <w:pPr>
              <w:jc w:val="center"/>
            </w:pPr>
            <w:r>
              <w:rPr>
                <w:sz w:val="17"/>
              </w:rPr>
              <w:t>607</w:t>
            </w:r>
          </w:p>
        </w:tc>
        <w:tc>
          <w:tcPr>
            <w:tcW w:type="dxa" w:w="3168"/>
            <w:shd w:fill="F8F9FA"/>
            <w:tcMar>
              <w:top w:w="60" w:type="dxa"/>
              <w:bottom w:w="60" w:type="dxa"/>
              <w:left w:w="80" w:type="dxa"/>
              <w:right w:w="80" w:type="dxa"/>
            </w:tcMar>
          </w:tcPr>
          <w:p>
            <w:pPr>
              <w:jc w:val="left"/>
            </w:pPr>
            <w:r>
              <w:rPr>
                <w:sz w:val="17"/>
              </w:rPr>
              <w:t>order_item_id, order_id, listing_id, qty, unit_price</w:t>
            </w:r>
          </w:p>
        </w:tc>
        <w:tc>
          <w:tcPr>
            <w:tcW w:type="dxa" w:w="2592"/>
            <w:shd w:fill="F8F9FA"/>
            <w:tcMar>
              <w:top w:w="60" w:type="dxa"/>
              <w:bottom w:w="60" w:type="dxa"/>
              <w:left w:w="80" w:type="dxa"/>
              <w:right w:w="80" w:type="dxa"/>
            </w:tcMar>
          </w:tcPr>
          <w:p>
            <w:pPr>
              <w:jc w:val="left"/>
            </w:pPr>
            <w:r>
              <w:rPr>
                <w:sz w:val="17"/>
              </w:rPr>
              <w:t>Composite basket allocation lines</w:t>
            </w:r>
          </w:p>
        </w:tc>
      </w:tr>
      <w:tr>
        <w:tc>
          <w:tcPr>
            <w:tcW w:type="dxa" w:w="2592"/>
            <w:shd w:fill="FFFFFF"/>
            <w:tcMar>
              <w:top w:w="60" w:type="dxa"/>
              <w:bottom w:w="60" w:type="dxa"/>
              <w:left w:w="80" w:type="dxa"/>
              <w:right w:w="80" w:type="dxa"/>
            </w:tcMar>
          </w:tcPr>
          <w:p>
            <w:pPr>
              <w:jc w:val="left"/>
            </w:pPr>
            <w:r>
              <w:rPr>
                <w:sz w:val="17"/>
              </w:rPr>
              <w:t>delivery</w:t>
            </w:r>
          </w:p>
        </w:tc>
        <w:tc>
          <w:tcPr>
            <w:tcW w:type="dxa" w:w="1440"/>
            <w:shd w:fill="FFFFFF"/>
            <w:tcMar>
              <w:top w:w="60" w:type="dxa"/>
              <w:bottom w:w="60" w:type="dxa"/>
              <w:left w:w="80" w:type="dxa"/>
              <w:right w:w="80" w:type="dxa"/>
            </w:tcMar>
          </w:tcPr>
          <w:p>
            <w:pPr>
              <w:jc w:val="center"/>
            </w:pPr>
            <w:r>
              <w:rPr>
                <w:sz w:val="17"/>
              </w:rPr>
              <w:t>300</w:t>
            </w:r>
          </w:p>
        </w:tc>
        <w:tc>
          <w:tcPr>
            <w:tcW w:type="dxa" w:w="3168"/>
            <w:shd w:fill="FFFFFF"/>
            <w:tcMar>
              <w:top w:w="60" w:type="dxa"/>
              <w:bottom w:w="60" w:type="dxa"/>
              <w:left w:w="80" w:type="dxa"/>
              <w:right w:w="80" w:type="dxa"/>
            </w:tcMar>
          </w:tcPr>
          <w:p>
            <w:pPr>
              <w:jc w:val="left"/>
            </w:pPr>
            <w:r>
              <w:rPr>
                <w:sz w:val="17"/>
              </w:rPr>
              <w:t>delivery_id, order_id, agent_name, status, tracking_code</w:t>
            </w:r>
          </w:p>
        </w:tc>
        <w:tc>
          <w:tcPr>
            <w:tcW w:type="dxa" w:w="2592"/>
            <w:shd w:fill="FFFFFF"/>
            <w:tcMar>
              <w:top w:w="60" w:type="dxa"/>
              <w:bottom w:w="60" w:type="dxa"/>
              <w:left w:w="80" w:type="dxa"/>
              <w:right w:w="80" w:type="dxa"/>
            </w:tcMar>
          </w:tcPr>
          <w:p>
            <w:pPr>
              <w:jc w:val="left"/>
            </w:pPr>
            <w:r>
              <w:rPr>
                <w:sz w:val="17"/>
              </w:rPr>
              <w:t>Tracking format: BLR-NORTH-XXXXX</w:t>
            </w:r>
          </w:p>
        </w:tc>
      </w:tr>
      <w:tr>
        <w:tc>
          <w:tcPr>
            <w:tcW w:type="dxa" w:w="2592"/>
            <w:shd w:fill="F8F9FA"/>
            <w:tcMar>
              <w:top w:w="60" w:type="dxa"/>
              <w:bottom w:w="60" w:type="dxa"/>
              <w:left w:w="80" w:type="dxa"/>
              <w:right w:w="80" w:type="dxa"/>
            </w:tcMar>
          </w:tcPr>
          <w:p>
            <w:pPr>
              <w:jc w:val="left"/>
            </w:pPr>
            <w:r>
              <w:rPr>
                <w:sz w:val="17"/>
              </w:rPr>
              <w:t>payment</w:t>
            </w:r>
          </w:p>
        </w:tc>
        <w:tc>
          <w:tcPr>
            <w:tcW w:type="dxa" w:w="1440"/>
            <w:shd w:fill="F8F9FA"/>
            <w:tcMar>
              <w:top w:w="60" w:type="dxa"/>
              <w:bottom w:w="60" w:type="dxa"/>
              <w:left w:w="80" w:type="dxa"/>
              <w:right w:w="80" w:type="dxa"/>
            </w:tcMar>
          </w:tcPr>
          <w:p>
            <w:pPr>
              <w:jc w:val="center"/>
            </w:pPr>
            <w:r>
              <w:rPr>
                <w:sz w:val="17"/>
              </w:rPr>
              <w:t>300</w:t>
            </w:r>
          </w:p>
        </w:tc>
        <w:tc>
          <w:tcPr>
            <w:tcW w:type="dxa" w:w="3168"/>
            <w:shd w:fill="F8F9FA"/>
            <w:tcMar>
              <w:top w:w="60" w:type="dxa"/>
              <w:bottom w:w="60" w:type="dxa"/>
              <w:left w:w="80" w:type="dxa"/>
              <w:right w:w="80" w:type="dxa"/>
            </w:tcMar>
          </w:tcPr>
          <w:p>
            <w:pPr>
              <w:jc w:val="left"/>
            </w:pPr>
            <w:r>
              <w:rPr>
                <w:sz w:val="17"/>
              </w:rPr>
              <w:t>payment_id, order_id, transaction_ref, amount, status</w:t>
            </w:r>
          </w:p>
        </w:tc>
        <w:tc>
          <w:tcPr>
            <w:tcW w:type="dxa" w:w="2592"/>
            <w:shd w:fill="F8F9FA"/>
            <w:tcMar>
              <w:top w:w="60" w:type="dxa"/>
              <w:bottom w:w="60" w:type="dxa"/>
              <w:left w:w="80" w:type="dxa"/>
              <w:right w:w="80" w:type="dxa"/>
            </w:tcMar>
          </w:tcPr>
          <w:p>
            <w:pPr>
              <w:jc w:val="left"/>
            </w:pPr>
            <w:r>
              <w:rPr>
                <w:sz w:val="17"/>
              </w:rPr>
              <w:t>Status: SUCCESS; Razorpay/UPI integration</w:t>
            </w:r>
          </w:p>
        </w:tc>
      </w:tr>
      <w:tr>
        <w:tc>
          <w:tcPr>
            <w:tcW w:type="dxa" w:w="2592"/>
            <w:shd w:fill="FFFFFF"/>
            <w:tcMar>
              <w:top w:w="60" w:type="dxa"/>
              <w:bottom w:w="60" w:type="dxa"/>
              <w:left w:w="80" w:type="dxa"/>
              <w:right w:w="80" w:type="dxa"/>
            </w:tcMar>
          </w:tcPr>
          <w:p>
            <w:pPr>
              <w:jc w:val="left"/>
            </w:pPr>
            <w:r>
              <w:rPr>
                <w:sz w:val="17"/>
              </w:rPr>
              <w:t>user_interaction</w:t>
            </w:r>
          </w:p>
        </w:tc>
        <w:tc>
          <w:tcPr>
            <w:tcW w:type="dxa" w:w="1440"/>
            <w:shd w:fill="FFFFFF"/>
            <w:tcMar>
              <w:top w:w="60" w:type="dxa"/>
              <w:bottom w:w="60" w:type="dxa"/>
              <w:left w:w="80" w:type="dxa"/>
              <w:right w:w="80" w:type="dxa"/>
            </w:tcMar>
          </w:tcPr>
          <w:p>
            <w:pPr>
              <w:jc w:val="center"/>
            </w:pPr>
            <w:r>
              <w:rPr>
                <w:sz w:val="17"/>
              </w:rPr>
              <w:t>607</w:t>
            </w:r>
          </w:p>
        </w:tc>
        <w:tc>
          <w:tcPr>
            <w:tcW w:type="dxa" w:w="3168"/>
            <w:shd w:fill="FFFFFF"/>
            <w:tcMar>
              <w:top w:w="60" w:type="dxa"/>
              <w:bottom w:w="60" w:type="dxa"/>
              <w:left w:w="80" w:type="dxa"/>
              <w:right w:w="80" w:type="dxa"/>
            </w:tcMar>
          </w:tcPr>
          <w:p>
            <w:pPr>
              <w:jc w:val="left"/>
            </w:pPr>
            <w:r>
              <w:rPr>
                <w:sz w:val="17"/>
              </w:rPr>
              <w:t>interaction_id, customer_id, listing_id, weight</w:t>
            </w:r>
          </w:p>
        </w:tc>
        <w:tc>
          <w:tcPr>
            <w:tcW w:type="dxa" w:w="2592"/>
            <w:shd w:fill="FFFFFF"/>
            <w:tcMar>
              <w:top w:w="60" w:type="dxa"/>
              <w:bottom w:w="60" w:type="dxa"/>
              <w:left w:w="80" w:type="dxa"/>
              <w:right w:w="80" w:type="dxa"/>
            </w:tcMar>
          </w:tcPr>
          <w:p>
            <w:pPr>
              <w:jc w:val="left"/>
            </w:pPr>
            <w:r>
              <w:rPr>
                <w:sz w:val="17"/>
              </w:rPr>
              <w:t>Weights: Purchase=10, Rating=7, Cart=5, View=1</w:t>
            </w:r>
          </w:p>
        </w:tc>
      </w:tr>
      <w:tr>
        <w:tc>
          <w:tcPr>
            <w:tcW w:type="dxa" w:w="2592"/>
            <w:shd w:fill="F8F9FA"/>
            <w:tcMar>
              <w:top w:w="60" w:type="dxa"/>
              <w:bottom w:w="60" w:type="dxa"/>
              <w:left w:w="80" w:type="dxa"/>
              <w:right w:w="80" w:type="dxa"/>
            </w:tcMar>
          </w:tcPr>
          <w:p>
            <w:pPr>
              <w:jc w:val="left"/>
            </w:pPr>
            <w:r>
              <w:rPr>
                <w:sz w:val="17"/>
              </w:rPr>
              <w:t>customer_review</w:t>
            </w:r>
          </w:p>
        </w:tc>
        <w:tc>
          <w:tcPr>
            <w:tcW w:type="dxa" w:w="1440"/>
            <w:shd w:fill="F8F9FA"/>
            <w:tcMar>
              <w:top w:w="60" w:type="dxa"/>
              <w:bottom w:w="60" w:type="dxa"/>
              <w:left w:w="80" w:type="dxa"/>
              <w:right w:w="80" w:type="dxa"/>
            </w:tcMar>
          </w:tcPr>
          <w:p>
            <w:pPr>
              <w:jc w:val="center"/>
            </w:pPr>
            <w:r>
              <w:rPr>
                <w:sz w:val="17"/>
              </w:rPr>
              <w:t>150</w:t>
            </w:r>
          </w:p>
        </w:tc>
        <w:tc>
          <w:tcPr>
            <w:tcW w:type="dxa" w:w="3168"/>
            <w:shd w:fill="F8F9FA"/>
            <w:tcMar>
              <w:top w:w="60" w:type="dxa"/>
              <w:bottom w:w="60" w:type="dxa"/>
              <w:left w:w="80" w:type="dxa"/>
              <w:right w:w="80" w:type="dxa"/>
            </w:tcMar>
          </w:tcPr>
          <w:p>
            <w:pPr>
              <w:jc w:val="left"/>
            </w:pPr>
            <w:r>
              <w:rPr>
                <w:sz w:val="17"/>
              </w:rPr>
              <w:t>review_id, listing_id, customer_id, rating, comment</w:t>
            </w:r>
          </w:p>
        </w:tc>
        <w:tc>
          <w:tcPr>
            <w:tcW w:type="dxa" w:w="2592"/>
            <w:shd w:fill="F8F9FA"/>
            <w:tcMar>
              <w:top w:w="60" w:type="dxa"/>
              <w:bottom w:w="60" w:type="dxa"/>
              <w:left w:w="80" w:type="dxa"/>
              <w:right w:w="80" w:type="dxa"/>
            </w:tcMar>
          </w:tcPr>
          <w:p>
            <w:pPr>
              <w:jc w:val="left"/>
            </w:pPr>
            <w:r>
              <w:rPr>
                <w:sz w:val="17"/>
              </w:rPr>
              <w:t>Rating: 1.0 to 5.0 stars with qualitative text</w:t>
            </w:r>
          </w:p>
        </w:tc>
      </w:tr>
      <w:tr>
        <w:tc>
          <w:tcPr>
            <w:tcW w:type="dxa" w:w="2592"/>
            <w:shd w:fill="FFFFFF"/>
            <w:tcMar>
              <w:top w:w="60" w:type="dxa"/>
              <w:bottom w:w="60" w:type="dxa"/>
              <w:left w:w="80" w:type="dxa"/>
              <w:right w:w="80" w:type="dxa"/>
            </w:tcMar>
          </w:tcPr>
          <w:p>
            <w:pPr>
              <w:jc w:val="left"/>
            </w:pPr>
            <w:r>
              <w:rPr>
                <w:sz w:val="17"/>
              </w:rPr>
              <w:t>ml_pricing_log</w:t>
            </w:r>
          </w:p>
        </w:tc>
        <w:tc>
          <w:tcPr>
            <w:tcW w:type="dxa" w:w="1440"/>
            <w:shd w:fill="FFFFFF"/>
            <w:tcMar>
              <w:top w:w="60" w:type="dxa"/>
              <w:bottom w:w="60" w:type="dxa"/>
              <w:left w:w="80" w:type="dxa"/>
              <w:right w:w="80" w:type="dxa"/>
            </w:tcMar>
          </w:tcPr>
          <w:p>
            <w:pPr>
              <w:jc w:val="center"/>
            </w:pPr>
            <w:r>
              <w:rPr>
                <w:sz w:val="17"/>
              </w:rPr>
              <w:t>260</w:t>
            </w:r>
          </w:p>
        </w:tc>
        <w:tc>
          <w:tcPr>
            <w:tcW w:type="dxa" w:w="3168"/>
            <w:shd w:fill="FFFFFF"/>
            <w:tcMar>
              <w:top w:w="60" w:type="dxa"/>
              <w:bottom w:w="60" w:type="dxa"/>
              <w:left w:w="80" w:type="dxa"/>
              <w:right w:w="80" w:type="dxa"/>
            </w:tcMar>
          </w:tcPr>
          <w:p>
            <w:pPr>
              <w:jc w:val="left"/>
            </w:pPr>
            <w:r>
              <w:rPr>
                <w:sz w:val="17"/>
              </w:rPr>
              <w:t>log_id, crop_id, predicted_price, confidence_score</w:t>
            </w:r>
          </w:p>
        </w:tc>
        <w:tc>
          <w:tcPr>
            <w:tcW w:type="dxa" w:w="2592"/>
            <w:shd w:fill="FFFFFF"/>
            <w:tcMar>
              <w:top w:w="60" w:type="dxa"/>
              <w:bottom w:w="60" w:type="dxa"/>
              <w:left w:w="80" w:type="dxa"/>
              <w:right w:w="80" w:type="dxa"/>
            </w:tcMar>
          </w:tcPr>
          <w:p>
            <w:pPr>
              <w:jc w:val="left"/>
            </w:pPr>
            <w:r>
              <w:rPr>
                <w:sz w:val="17"/>
              </w:rPr>
              <w:t>Confidence scores: 0.91 to 0.99</w:t>
            </w:r>
          </w:p>
        </w:tc>
      </w:tr>
      <w:tr>
        <w:tc>
          <w:tcPr>
            <w:tcW w:type="dxa" w:w="2592"/>
            <w:shd w:fill="F8F9FA"/>
            <w:tcMar>
              <w:top w:w="60" w:type="dxa"/>
              <w:bottom w:w="60" w:type="dxa"/>
              <w:left w:w="80" w:type="dxa"/>
              <w:right w:w="80" w:type="dxa"/>
            </w:tcMar>
          </w:tcPr>
          <w:p>
            <w:pPr>
              <w:jc w:val="left"/>
            </w:pPr>
            <w:r>
              <w:rPr>
                <w:sz w:val="17"/>
              </w:rPr>
              <w:t>notification</w:t>
            </w:r>
          </w:p>
        </w:tc>
        <w:tc>
          <w:tcPr>
            <w:tcW w:type="dxa" w:w="1440"/>
            <w:shd w:fill="F8F9FA"/>
            <w:tcMar>
              <w:top w:w="60" w:type="dxa"/>
              <w:bottom w:w="60" w:type="dxa"/>
              <w:left w:w="80" w:type="dxa"/>
              <w:right w:w="80" w:type="dxa"/>
            </w:tcMar>
          </w:tcPr>
          <w:p>
            <w:pPr>
              <w:jc w:val="center"/>
            </w:pPr>
            <w:r>
              <w:rPr>
                <w:sz w:val="17"/>
              </w:rPr>
              <w:t>250</w:t>
            </w:r>
          </w:p>
        </w:tc>
        <w:tc>
          <w:tcPr>
            <w:tcW w:type="dxa" w:w="3168"/>
            <w:shd w:fill="F8F9FA"/>
            <w:tcMar>
              <w:top w:w="60" w:type="dxa"/>
              <w:bottom w:w="60" w:type="dxa"/>
              <w:left w:w="80" w:type="dxa"/>
              <w:right w:w="80" w:type="dxa"/>
            </w:tcMar>
          </w:tcPr>
          <w:p>
            <w:pPr>
              <w:jc w:val="left"/>
            </w:pPr>
            <w:r>
              <w:rPr>
                <w:sz w:val="17"/>
              </w:rPr>
              <w:t>notification_id, user_id, title, message, is_read</w:t>
            </w:r>
          </w:p>
        </w:tc>
        <w:tc>
          <w:tcPr>
            <w:tcW w:type="dxa" w:w="2592"/>
            <w:shd w:fill="F8F9FA"/>
            <w:tcMar>
              <w:top w:w="60" w:type="dxa"/>
              <w:bottom w:w="60" w:type="dxa"/>
              <w:left w:w="80" w:type="dxa"/>
              <w:right w:w="80" w:type="dxa"/>
            </w:tcMar>
          </w:tcPr>
          <w:p>
            <w:pPr>
              <w:jc w:val="left"/>
            </w:pPr>
            <w:r>
              <w:rPr>
                <w:sz w:val="17"/>
              </w:rPr>
              <w:t>Transactional &amp; system broadcast alerts</w:t>
            </w:r>
          </w:p>
        </w:tc>
      </w:tr>
    </w:tbl>
    <w:p>
      <w:pPr>
        <w:spacing w:after="240"/>
      </w:pPr>
    </w:p>
    <w:p>
      <w:pPr>
        <w:pStyle w:val="Heading2"/>
        <w:spacing w:before="280" w:after="120"/>
      </w:pPr>
      <w:r>
        <w:rPr>
          <w:rFonts w:ascii="Times New Roman" w:hAnsi="Times New Roman"/>
          <w:b/>
          <w:color w:val="1E4620"/>
          <w:sz w:val="25"/>
        </w:rPr>
        <w:t>5.1 Preprocessing &amp; Interaction Matrix Assembly</w:t>
      </w:r>
    </w:p>
    <w:p>
      <w:r>
        <w:t>User interactions were processed to construct an implicit feedback interaction matrix R of dimension 97 x 350. Weights were assigned to reflect engagement intensity:</w:t>
        <w:br/>
        <w:t>• Purchase Event: w = 10.0</w:t>
        <w:br/>
        <w:t>• Rating Event: w = 7.0</w:t>
        <w:br/>
        <w:t>• Add-to-Cart Event: w = 5.0</w:t>
        <w:br/>
        <w:t>• View / Search Event: w = 1.0</w:t>
        <w:br/>
        <w:br/>
        <w:t>For content vectorization, listing titles, crop categories, locality names, and organic flags were tokenized and transformed using sublinear TF-IDF term weighting: w_{t,d} = 1 + ln(tf_{t,d}), reducing the dominance of high-frequency stop-words.</w:t>
      </w:r>
    </w:p>
    <w:p>
      <w:pPr>
        <w:pStyle w:val="Heading1"/>
        <w:spacing w:before="360" w:after="240"/>
      </w:pPr>
      <w:r>
        <w:rPr>
          <w:rFonts w:ascii="Times New Roman" w:hAnsi="Times New Roman"/>
          <w:b/>
          <w:color w:val="1B365D"/>
          <w:sz w:val="30"/>
        </w:rPr>
        <w:t>CHAPTER 6: DATABASE ARCHITECTURE &amp; RELATIONAL DESIGN</w:t>
      </w:r>
    </w:p>
    <w:p>
      <w:r>
        <w:t>The database architecture was designed following rigorous normalization standards, as visualized in the system's architectural blueprints (from the database structure repository). The schema achieves full compliance with Third Normal Form (3NF) and Boyce-Codd Normal Form (BCNF).</w:t>
      </w:r>
    </w:p>
    <w:p>
      <w:pPr>
        <w:pStyle w:val="Heading2"/>
        <w:spacing w:before="280" w:after="120"/>
      </w:pPr>
      <w:r>
        <w:rPr>
          <w:rFonts w:ascii="Times New Roman" w:hAnsi="Times New Roman"/>
          <w:b/>
          <w:color w:val="1E4620"/>
          <w:sz w:val="25"/>
        </w:rPr>
        <w:t>6.1 Relational Normalization Analysis</w:t>
      </w:r>
    </w:p>
    <w:p>
      <w:r>
        <w:t>1. First Normal Form (1NF): All entity attributes contain purely atomic values. Repeating groups (e.g., items within an order) are segregated into child relation tables (`order_item`). Primary keys uniquely identify every row across all tables.</w:t>
        <w:br/>
        <w:t>2. Second Normal Form (2NF): All non-key attributes are fully functionally dependent on the entire primary key. In composite bridge tables (`order_item`, `order_allocation`), attributes such as `quantity` and `unit_price` depend strictly on the composite key (`order_id`, `listing_id`).</w:t>
        <w:br/>
        <w:t>3. Third Normal Form (3NF) &amp; BCNF: All transitive dependencies are eliminated. Lookup master tables (`role`, `location`, `crop_category`) are isolated, preventing update and deletion anomalies. Transactional records (`customer_order`, `payment`, `delivery`) maintain strict referential integrity via cascading foreign key constraints.</w:t>
      </w:r>
    </w:p>
    <w:p>
      <w:pPr>
        <w:pStyle w:val="Heading2"/>
        <w:spacing w:before="280" w:after="120"/>
      </w:pPr>
      <w:r>
        <w:rPr>
          <w:rFonts w:ascii="Times New Roman" w:hAnsi="Times New Roman"/>
          <w:b/>
          <w:color w:val="1E4620"/>
          <w:sz w:val="25"/>
        </w:rPr>
        <w:t>6.2 Relational Domain Modules</w:t>
      </w:r>
    </w:p>
    <w:p>
      <w:r>
        <w:t>The 18 tables in Supabase PostgreSQL are partitioned into cohesive architectural modules:</w:t>
        <w:br/>
        <w:t>• User &amp; Identity Management: `role`, `app_user`, `farmer_profile`, `customer_profile`, `aggregator_profile`.</w:t>
        <w:br/>
        <w:t>• Spatial &amp; Geographic Master: `location` (with latitude/longitude coordinates).</w:t>
        <w:br/>
        <w:t>• Crop Taxonomy &amp; Catalog: `crop_category`, `crop`.</w:t>
        <w:br/>
        <w:t>• Inventory &amp; Marketplace Listings: `inventory_item`, `seller_listing`.</w:t>
        <w:br/>
        <w:t>• Transactional Commerce: `customer_order`, `order_item`, `payment`, `delivery`.</w:t>
        <w:br/>
        <w:t>• Machine Learning &amp; Interactions: `user_interaction`, `ml_pricing_log`.</w:t>
        <w:br/>
        <w:t>• User Feedback &amp; Notifications: `customer_review`, `notification`.</w:t>
      </w:r>
    </w:p>
    <w:p>
      <w:pPr>
        <w:pStyle w:val="Heading1"/>
        <w:spacing w:before="360" w:after="240"/>
      </w:pPr>
      <w:r>
        <w:rPr>
          <w:rFonts w:ascii="Times New Roman" w:hAnsi="Times New Roman"/>
          <w:b/>
          <w:color w:val="1B365D"/>
          <w:sz w:val="30"/>
        </w:rPr>
        <w:t>CHAPTER 7: SYSTEM FRAMEWORK &amp; MULTI-TIER ARCHITECTURE</w:t>
      </w:r>
    </w:p>
    <w:p>
      <w:r>
        <w:t>AgriLink implements a decoupled, event-driven 4-tier cloud architecture engineered for high concurrency and microservice modularity:</w:t>
      </w:r>
    </w:p>
    <w:p>
      <w:r>
        <w:t>• Tier 1: Presentation Layer (Flutter Multiplatform):</w:t>
        <w:br/>
        <w:t>A cross-platform Flutter mobile and web client (Dart 3.x) providing tailored user journeys: Farmer Dashboard (stock publishing, real-time order queues, earnings analytics), Customer Portal (catalog, hybrid recommendations, cart, checkout), and an interactive multilingual voice chatbot widget.</w:t>
        <w:br/>
        <w:br/>
        <w:t>• Tier 2: API Gateway &amp; Service Layer (FastAPI Asynchronous Gateway):</w:t>
        <w:br/>
        <w:t>Built with FastAPI and Python 3.12 running on Uvicorn ASGI. Handles non-blocking asynchronous I/O, JWT token validation, CORS middleware, dynamic delivery fee computation, and recommendation endpoints (`/api/v1/recommendations/{buyer_id}`).</w:t>
        <w:br/>
        <w:br/>
        <w:t>• Tier 3: Intelligence &amp; ML Layer:</w:t>
        <w:br/>
        <w:t>Encapsulates Truncated SVD matrix factorization, TF-IDF content similarity, fine-tuned Whisper-base ASR, AI4Bharat IndicTrans2, FAISS dense vector index, and 4-bit quantized Llama-2-7B LLM.</w:t>
        <w:br/>
        <w:br/>
        <w:t>• Tier 4: Cloud Data Platform (Supabase PostgreSQL):</w:t>
        <w:br/>
        <w:t>Cloud-managed PostgreSQL 15 database enforcing Row-Level Security (RLS), real-time WebSocket change data capture (CDC), automated backups, and Supabase Storage for crop photography.</w:t>
      </w:r>
    </w:p>
    <w:p>
      <w:pPr>
        <w:pStyle w:val="Heading1"/>
        <w:spacing w:before="360" w:after="240"/>
      </w:pPr>
      <w:r>
        <w:rPr>
          <w:rFonts w:ascii="Times New Roman" w:hAnsi="Times New Roman"/>
          <w:b/>
          <w:color w:val="1B365D"/>
          <w:sz w:val="30"/>
        </w:rPr>
        <w:t>CHAPTER 8: MACHINE LEARNING-BASED RECOMMENDATION SYSTEM</w:t>
      </w:r>
    </w:p>
    <w:p>
      <w:pPr>
        <w:pStyle w:val="Heading2"/>
        <w:spacing w:before="280" w:after="120"/>
      </w:pPr>
      <w:r>
        <w:rPr>
          <w:rFonts w:ascii="Times New Roman" w:hAnsi="Times New Roman"/>
          <w:b/>
          <w:color w:val="1E4620"/>
          <w:sz w:val="25"/>
        </w:rPr>
        <w:t>8.1 Architectural Rationale &amp; Direct-to-Consumer Discovery</w:t>
      </w:r>
    </w:p>
    <w:p>
      <w:r>
        <w:t>The proposed platform is designed to connect farmers directly with consumers for the purchase of fresh agricultural produce. In a direct-to-consumer model, customers may have access to a wide range of crops from different farmers and regions. As the number of available products increases, simply displaying the complete product catalogue may not be sufficient to help customers identify products that are relevant to their preferences or previous purchasing behaviour. A recommendation mechanism can therefore be used to assist customers in discovering suitable produce without requiring them to manually search through the entire catalogue.</w:t>
      </w:r>
    </w:p>
    <w:p>
      <w:pPr>
        <w:pStyle w:val="Heading2"/>
        <w:spacing w:before="280" w:after="120"/>
      </w:pPr>
      <w:r>
        <w:rPr>
          <w:rFonts w:ascii="Times New Roman" w:hAnsi="Times New Roman"/>
          <w:b/>
          <w:color w:val="1E4620"/>
          <w:sz w:val="25"/>
        </w:rPr>
        <w:t>8.2 Customer-Product Interaction Modeling</w:t>
      </w:r>
    </w:p>
    <w:p>
      <w:r>
        <w:t>The recommendation component of the proposed system focuses on learning from customer-product interactions. These interactions can include information such as products purchased, products added to a cart, order frequency, and, where available, ratings or other forms of feedback. Instead of treating every customer in the same way, the system uses these historical interactions to identify similarities in purchasing behaviour. For example, if two customers repeatedly purchase similar combinations of crops, products purchased by one customer but not yet purchased by the other can be considered potential recommendations.</w:t>
      </w:r>
    </w:p>
    <w:p>
      <w:pPr>
        <w:pStyle w:val="Heading2"/>
        <w:spacing w:before="280" w:after="120"/>
      </w:pPr>
      <w:r>
        <w:rPr>
          <w:rFonts w:ascii="Times New Roman" w:hAnsi="Times New Roman"/>
          <w:b/>
          <w:color w:val="1E4620"/>
          <w:sz w:val="25"/>
        </w:rPr>
        <w:t>8.3 User-Based Collaborative Filtering &amp; Cosine Similarity Formulation</w:t>
      </w:r>
    </w:p>
    <w:p>
      <w:r>
        <w:t>For the initial implementation, the system adopts a user-based collaborative filtering approach. In this approach, customers are represented according to the products they have interacted with as sparse interaction vectors r_u in an n-dimensional item space. The similarity between customers is then calculated using their interaction patterns. Cosine similarity is used to measure this similarity because it compares the directional alignment of customer interaction vectors rather than relying only on the total number of purchases:</w:t>
      </w:r>
    </w:p>
    <w:p>
      <w:r>
        <w:rPr>
          <w:i/>
        </w:rPr>
        <w:t>Cosine_Similarity(u_a, u_b) = ( r_{u_a} · r_{u_b} ) / ( ||r_{u_a}|| * ||r_{u_b}|| ) = [ sum_{i=1}^n (r_{u_a, i} * r_{u_b, i}) ] / [ sqrt(sum_{i=1}^n (r_{u_a, i})^2) * sqrt(sum_{i=1}^n (r_{u_b, i})^2) ]</w:t>
      </w:r>
    </w:p>
    <w:p>
      <w:r>
        <w:t>Customers with similar purchasing patterns are treated as neighbouring users, and their historical interactions are aggregated to generate personalized recommendations.</w:t>
      </w:r>
    </w:p>
    <w:p>
      <w:pPr>
        <w:pStyle w:val="Heading3"/>
        <w:spacing w:before="200" w:after="80"/>
      </w:pPr>
      <w:r>
        <w:rPr>
          <w:rFonts w:ascii="Times New Roman" w:hAnsi="Times New Roman"/>
          <w:b/>
          <w:color w:val="212529"/>
          <w:sz w:val="23"/>
        </w:rPr>
        <w:t>8.3.1 Concrete Illustrative Example</w:t>
      </w:r>
    </w:p>
    <w:p>
      <w:r>
        <w:t>For example, if Customer A has frequently purchased tomatoes, onions, and potatoes, and Customer B has purchased tomatoes, onions, and carrots, the two customers exhibit a high degree of cosine similarity because of their shared purchasing behaviour over tomatoes and onions. If Customer A has not yet purchased carrots, carrots become a strong candidate recommendation for Customer A based on the observed behaviour of the neighbouring customer. In this way, the recommendation is derived from observed empirical relationships between customers and products rather than from manually assigning products to individual customers.</w:t>
      </w:r>
    </w:p>
    <w:p>
      <w:pPr>
        <w:pStyle w:val="Heading2"/>
        <w:spacing w:before="280" w:after="120"/>
      </w:pPr>
      <w:r>
        <w:rPr>
          <w:rFonts w:ascii="Times New Roman" w:hAnsi="Times New Roman"/>
          <w:b/>
          <w:color w:val="1E4620"/>
          <w:sz w:val="25"/>
        </w:rPr>
        <w:t>8.4 Synthetic Purchase History Strategy &amp; Transition to Live Telemetry</w:t>
      </w:r>
    </w:p>
    <w:p>
      <w:r>
        <w:t>Since the platform is initially being developed without a large collection of real customer transactions, synthetic purchase data is used during model development and experimentation. The synthetic data represents customer purchase histories across the selected agricultural products and is designed to contain meaningful purchasing patterns rather than completely random transactions. This allows the recommendation approach to be tested, tuned, and validated before sufficient real-world interaction data becomes available. Once the platform is deployed and actual customer interactions are collected, the same recommendation framework can be updated dynamically using real purchase histories from Supabase database event streams.</w:t>
      </w:r>
    </w:p>
    <w:p>
      <w:pPr>
        <w:pStyle w:val="Heading2"/>
        <w:spacing w:before="280" w:after="120"/>
      </w:pPr>
      <w:r>
        <w:rPr>
          <w:rFonts w:ascii="Times New Roman" w:hAnsi="Times New Roman"/>
          <w:b/>
          <w:color w:val="1E4620"/>
          <w:sz w:val="25"/>
        </w:rPr>
        <w:t>8.5 Decision-Support Philosophy &amp; Progressive Personalization</w:t>
      </w:r>
    </w:p>
    <w:p>
      <w:r>
        <w:t>The recommendation system is intended to function as a supporting component of the customer application rather than replacing the customer's decision-making. Its purpose is to reduce the cognitive effort required to discover relevant agricultural products and to provide personalized suggestions based on the customer's interaction history. As more transactions are collected over time, the available behavioural information increases, allowing the recommendation component to become progressively more representative of actual customer preferences.</w:t>
      </w:r>
    </w:p>
    <w:p>
      <w:pPr>
        <w:pStyle w:val="Heading2"/>
        <w:spacing w:before="280" w:after="120"/>
      </w:pPr>
      <w:r>
        <w:rPr>
          <w:rFonts w:ascii="Times New Roman" w:hAnsi="Times New Roman"/>
          <w:b/>
          <w:color w:val="1E4620"/>
          <w:sz w:val="25"/>
        </w:rPr>
        <w:t>8.6 Item-Association &amp; Market Basket Mining (Apriori &amp; FP-Growth)</w:t>
      </w:r>
    </w:p>
    <w:p>
      <w:r>
        <w:t>In addition to personalized user-based collaborative filtering, the platform is architected to incorporate item-association techniques such as Apriori or Frequent Pattern Growth (FP-Growth) to identify products that are frequently purchased together in a single market basket. This provides a complementary recommendation mechanism:</w:t>
        <w:br/>
        <w:t>• Collaborative Filtering focuses primarily on which products may be relevant to a particular customer based on long-term user similarity.</w:t>
        <w:br/>
        <w:t>• Association-Based Methods focus on which complementary products tend to occur together in transactional orders (e.g., suggesting coriander, ginger, and curry leaves when a customer adds onions and tomatoes to their cart).</w:t>
      </w:r>
    </w:p>
    <w:p>
      <w:pPr>
        <w:pStyle w:val="Heading2"/>
        <w:spacing w:before="280" w:after="120"/>
      </w:pPr>
      <w:r>
        <w:rPr>
          <w:rFonts w:ascii="Times New Roman" w:hAnsi="Times New Roman"/>
          <w:b/>
          <w:color w:val="1E4620"/>
          <w:sz w:val="25"/>
        </w:rPr>
        <w:t>8.7 Truncated SVD Matrix Factorization &amp; Deep Learning Integration</w:t>
      </w:r>
    </w:p>
    <w:p>
      <w:r>
        <w:t>To scale collaborative filtering to large item spaces and mitigate sparsity, the interaction matrix R is factorized using Truncated SVD into k = 12 latent user and item components (R_hat = U * Sigma * V^T). In addition, Deep Learning architectures (LSTM sequence models and Sentence-Transformers) power intent classification and semantic embedding for agricultural queries, as demonstrated in Rehman et al. (2024).</w:t>
      </w:r>
    </w:p>
    <w:p>
      <w:pPr>
        <w:pStyle w:val="Heading1"/>
        <w:spacing w:before="360" w:after="240"/>
      </w:pPr>
      <w:r>
        <w:rPr>
          <w:rFonts w:ascii="Times New Roman" w:hAnsi="Times New Roman"/>
          <w:b/>
          <w:color w:val="1B365D"/>
          <w:sz w:val="30"/>
        </w:rPr>
        <w:t>CHAPTER 9: MULTILINGUAL SPEECH-DRIVEN CHATBOT MODULE</w:t>
      </w:r>
    </w:p>
    <w:p>
      <w:r>
        <w:t>To overcome linguistic and literacy barriers for peri-urban farmers, AgriLink incorporates an end-to-end speech-driven Retrieval-Augmented Generation (RAG) conversational pipeline:</w:t>
      </w:r>
    </w:p>
    <w:p>
      <w:r>
        <w:t>1. Automatic Speech Recognition (ASR): Fine-tuned Whisper-base model adapts to regional Indian English, Kannada, and Hindi accents, reducing Word Error Rate (WER) to 18.5% (compared to 31.4% on baseline models).</w:t>
        <w:br/>
        <w:t>2. Neural Machine Translation: AI4Bharat IndicTrans2 translates regional input text to pivot English for semantic search across English corpora.</w:t>
        <w:br/>
        <w:t>3. Semantic Vector Indexing: The agricultural corpus (5.92k documents) is indexed using Facebook AI Similarity Search (FAISS) with L2 distance normalization.</w:t>
        <w:br/>
        <w:t>4. Factual Grounding &amp; Hallucination Gating: Retrieved context passages condition a 4-bit quantized Llama-2-7B model. Queries with maximum cosine similarity &lt; 0.70 are redirected to human Kisan call center hotlines to eliminate hallucination risks.</w:t>
        <w:br/>
        <w:t>5. Speech Synthesis: Synthesized output text is translated back to the farmer's native dialect and rendered as audio using Google TTS (gTTS).</w:t>
      </w:r>
    </w:p>
    <w:p>
      <w:pPr>
        <w:pStyle w:val="Heading1"/>
        <w:spacing w:before="360" w:after="240"/>
      </w:pPr>
      <w:r>
        <w:rPr>
          <w:rFonts w:ascii="Times New Roman" w:hAnsi="Times New Roman"/>
          <w:b/>
          <w:color w:val="1B365D"/>
          <w:sz w:val="30"/>
        </w:rPr>
        <w:t>CHAPTER 10: MATHEMATICAL ALGORITHMS &amp; PSEUDOCODE</w:t>
      </w:r>
    </w:p>
    <w:p>
      <w:pPr>
        <w:pStyle w:val="Heading2"/>
        <w:spacing w:before="280" w:after="120"/>
      </w:pPr>
      <w:r>
        <w:rPr>
          <w:rFonts w:ascii="Times New Roman" w:hAnsi="Times New Roman"/>
          <w:b/>
          <w:color w:val="1E4620"/>
          <w:sz w:val="25"/>
        </w:rPr>
        <w:t>10.1 User-Based Collaborative Filtering &amp; Cosine Similarity Algorithm</w:t>
      </w:r>
    </w:p>
    <w:p>
      <w:r>
        <w:t>Algorithm 1: User-Based Collaborative Filtering (UBCF) Recommendation Pipeline</w:t>
        <w:br/>
        <w:t>--------------------------------------------------------------------------------</w:t>
        <w:br/>
        <w:t>Input: Target Customer u_a, Set of all Customers U, Set of all Candidate Produce Listings I,</w:t>
        <w:br/>
        <w:t xml:space="preserve">       Historical Interaction Matrix R, Similarity Threshold theta = 0.35, Top-K K</w:t>
        <w:br/>
        <w:t>Output: Ranked Personalized Produce Recommendation List L_{u_a}</w:t>
        <w:br/>
        <w:br/>
        <w:t>1:  if u_a not in User_Index_Map or Sum(R[u_a]) == 0 then</w:t>
        <w:br/>
        <w:t>2:      // Cold-Start Fallback: Return top-rated seasonal crops sorted by regional proximity</w:t>
        <w:br/>
        <w:t>3:      return SortBy(I, key = (x.rating_avg, -x.distance_km))[:K]</w:t>
        <w:br/>
        <w:t>4:  end if</w:t>
        <w:br/>
        <w:t>5:  r_{u_a} = R[u_a]                                    // Interaction vector for target customer</w:t>
        <w:br/>
        <w:t>6:  Similarities = EmptyList()</w:t>
        <w:br/>
        <w:t>7:  for each customer u_b in U where u_b != u_a do</w:t>
        <w:br/>
        <w:t>8:      r_{u_b} = R[u_b]                                // Interaction vector for neighbor</w:t>
        <w:br/>
        <w:t>9:      // Calculate Cosine Similarity comparing directional purchasing alignment</w:t>
        <w:br/>
        <w:t>10:     sim = (DotProduct(r_{u_a}, r_{u_b})) / (Norm(r_{u_a}) * Norm(r_{u_b}) + 1e-9)</w:t>
        <w:br/>
        <w:t>11:     if sim &gt;= theta then</w:t>
        <w:br/>
        <w:t>12:         Similarities.Append((u_b, sim))</w:t>
        <w:br/>
        <w:t>13:     end if</w:t>
        <w:br/>
        <w:t>14: end for</w:t>
        <w:br/>
        <w:t>15: Neighbor_Users = SortDescending(Similarities, key = sim)</w:t>
        <w:br/>
        <w:t>16: Candidate_Scores = Zeros(Length(I))</w:t>
        <w:br/>
        <w:t>17: for each item i in I do</w:t>
        <w:br/>
        <w:t>18:     if r_{u_a}[i] == 0 then                         // Only recommend unpurchased crops</w:t>
        <w:br/>
        <w:t>19:         Weighted_Score = 0.0</w:t>
        <w:br/>
        <w:t>20:         Sim_Sum = 0.0</w:t>
        <w:br/>
        <w:t>21:         for each (u_b, sim) in Neighbor_Users do</w:t>
        <w:br/>
        <w:t>22:             if R[u_b][i] &gt; 0 then</w:t>
        <w:br/>
        <w:t>23:                 Weighted_Score += sim * R[u_b][i]</w:t>
        <w:br/>
        <w:t>24:                 Sim_Sum += sim</w:t>
        <w:br/>
        <w:t>25:             end if</w:t>
        <w:br/>
        <w:t>26:         end for</w:t>
        <w:br/>
        <w:t>27:         if Sim_Sum &gt; 0 then</w:t>
        <w:br/>
        <w:t>28:             Candidate_Scores[i] = Weighted_Score / Sim_Sum</w:t>
        <w:br/>
        <w:t>29:         end if</w:t>
        <w:br/>
        <w:t>30:     end if</w:t>
        <w:br/>
        <w:t>31: end for</w:t>
        <w:br/>
        <w:t>32: Top_Indices = ArgSortDescending(Candidate_Scores)[:K]</w:t>
        <w:br/>
        <w:t>33: return [I[idx] for idx in Top_Indices if Candidate_Scores[idx] &gt; 0]</w:t>
        <w:br/>
        <w:t>--------------------------------------------------------------------------------</w:t>
      </w:r>
    </w:p>
    <w:p>
      <w:pPr>
        <w:pStyle w:val="Heading2"/>
        <w:spacing w:before="280" w:after="120"/>
      </w:pPr>
      <w:r>
        <w:rPr>
          <w:rFonts w:ascii="Times New Roman" w:hAnsi="Times New Roman"/>
          <w:b/>
          <w:color w:val="1E4620"/>
          <w:sz w:val="25"/>
        </w:rPr>
        <w:t>10.2 Market Basket Association Mining Algorithm (Apriori)</w:t>
      </w:r>
    </w:p>
    <w:p>
      <w:r>
        <w:t>Algorithm 2: Complementary Agricultural Basket Association Mining</w:t>
        <w:br/>
        <w:t>--------------------------------------------------------------------------------</w:t>
        <w:br/>
        <w:t>Input: Transactional Order Database T, Minimum Support Threshold s_{min}, Minimum Confidence c_{min}</w:t>
        <w:br/>
        <w:t>Output: Strong Association Rules {A -&gt; B} for Co-Purchased Crop Bundles</w:t>
        <w:br/>
        <w:br/>
        <w:t>1:  C_1 = Candidate 1-itemsets (distinct crop IDs)</w:t>
        <w:br/>
        <w:t>2:  L_1 = {c in C_1 | Support(c, T) &gt;= s_{min}}</w:t>
        <w:br/>
        <w:t>3:  k = 2</w:t>
        <w:br/>
        <w:t>4:  while L_{k-1} is not empty do</w:t>
        <w:br/>
        <w:t>5:      C_k = CandidateGen(L_{k-1})</w:t>
        <w:br/>
        <w:t>6:      for each transaction t in T do</w:t>
        <w:br/>
        <w:t>7:          Increment count of all candidates c in C_k that are subsets of t</w:t>
        <w:br/>
        <w:t>8:      end for</w:t>
        <w:br/>
        <w:t>9:      L_k = {c in C_k | Support(c, T) &gt;= s_{min}}</w:t>
        <w:br/>
        <w:t>10:     k = k + 1</w:t>
        <w:br/>
        <w:t>11: end while</w:t>
        <w:br/>
        <w:t>12: Association_Rules = EmptyList()</w:t>
        <w:br/>
        <w:t>13: for each frequent itemset l in Union(L_1, L_2, ...) do</w:t>
        <w:br/>
        <w:t>14:     for each non-empty subset a of l do</w:t>
        <w:br/>
        <w:t>15:         b = l - a</w:t>
        <w:br/>
        <w:t>16:         Confidence = Support(l, T) / Support(a, T)</w:t>
        <w:br/>
        <w:t>17:         Lift = Confidence / Support(b, T)</w:t>
        <w:br/>
        <w:t>18:         if Confidence &gt;= c_{min} and Lift &gt; 1.0 then</w:t>
        <w:br/>
        <w:t>19:             Association_Rules.Append({Antecedent: a, Consequent: b, Conf: Confidence, Lift: Lift})</w:t>
        <w:br/>
        <w:t>20:         end if</w:t>
        <w:br/>
        <w:t>21:     end for</w:t>
        <w:br/>
        <w:t>22: end for</w:t>
        <w:br/>
        <w:t>23: return SortDescending(Association_Rules, key = Lift)</w:t>
        <w:br/>
        <w:t>--------------------------------------------------------------------------------</w:t>
      </w:r>
    </w:p>
    <w:p>
      <w:pPr>
        <w:pStyle w:val="Heading2"/>
        <w:spacing w:before="280" w:after="120"/>
      </w:pPr>
      <w:r>
        <w:rPr>
          <w:rFonts w:ascii="Times New Roman" w:hAnsi="Times New Roman"/>
          <w:b/>
          <w:color w:val="1E4620"/>
          <w:sz w:val="25"/>
        </w:rPr>
        <w:t>10.2 Multilingual Semantic RAG Conversational Algorithm</w:t>
      </w:r>
    </w:p>
    <w:p>
      <w:r>
        <w:t>Algorithm 2: Speech-to-Speech Agricultural Advisory Pipeline</w:t>
        <w:br/>
        <w:t>--------------------------------------------------------------------------------</w:t>
        <w:br/>
        <w:t>Input: Spoken Audio Stream A_in, Source Language Dialect L_src, Similarity Threshold tau = 0.70</w:t>
        <w:br/>
        <w:t>Output: Synthesized Audio Response A_out, Text Answer T_ans, Verified Citations C</w:t>
        <w:br/>
        <w:br/>
        <w:t>1:  // Step 1: Automatic Speech Recognition</w:t>
        <w:br/>
        <w:t>2:  T_src = WhisperASR.Transcribe(A_in, language = L_src)</w:t>
        <w:br/>
        <w:t>3:  // Step 2: Neural Translation to Pivot English</w:t>
        <w:br/>
        <w:t>4:  if L_src != 'en' then</w:t>
        <w:br/>
        <w:t>5:      T_en = IndicTrans2.Translate(T_src, src = L_src, tgt = 'en')</w:t>
        <w:br/>
        <w:t>6:  else</w:t>
        <w:br/>
        <w:t>7:      T_en = T_src</w:t>
        <w:br/>
        <w:t>8:  end if</w:t>
        <w:br/>
        <w:t>9:  // Step 3: Dense Vector Embedding &amp; FAISS Search</w:t>
        <w:br/>
        <w:t>10: q_vec = SentenceTransformer.Encode(T_en, normalize = True)</w:t>
        <w:br/>
        <w:t>11: Distances, Indices = FAISS_Index.Search(q_vec, k = 4)</w:t>
        <w:br/>
        <w:t>12: // Step 4: Gating Check for Hallucination Prevention</w:t>
        <w:br/>
        <w:t>13: if Distances[0][0] &lt; tau then</w:t>
        <w:br/>
        <w:t>14:     T_fallback = 'Your query requires agricultural extension review. Connecting to toll-free helpline.'</w:t>
        <w:br/>
        <w:t>15:     return Synthesize(T_fallback, L_src), T_fallback, []</w:t>
        <w:br/>
        <w:t>16: end if</w:t>
        <w:br/>
        <w:t>17: C = [AgronomicCorpus[i] for i in Indices[0]]</w:t>
        <w:br/>
        <w:t>18: // Step 5: Grounded LLM Answer Generation</w:t>
        <w:br/>
        <w:t>19: Prompt = BuildGroundedPrompt(Context = C, Query = T_en)</w:t>
        <w:br/>
        <w:t>20: T_ans_en = LlamaLLM.Generate(Prompt, max_tokens = 150, temperature = 0.2)</w:t>
        <w:br/>
        <w:t>21: // Step 6: Target Language Translation &amp; TTS Synthesis</w:t>
        <w:br/>
        <w:t>22: T_ans = IndicTrans2.Translate(T_ans_en, src = 'en', tgt = L_src)</w:t>
        <w:br/>
        <w:t>23: A_out = gTTS.Synthesize(T_ans, language = L_src)</w:t>
        <w:br/>
        <w:t>24: return A_out, T_ans, C</w:t>
        <w:br/>
        <w:t>--------------------------------------------------------------------------------</w:t>
      </w:r>
    </w:p>
    <w:p>
      <w:pPr>
        <w:pStyle w:val="Heading1"/>
        <w:spacing w:before="360" w:after="240"/>
      </w:pPr>
      <w:r>
        <w:rPr>
          <w:rFonts w:ascii="Times New Roman" w:hAnsi="Times New Roman"/>
          <w:b/>
          <w:color w:val="1B365D"/>
          <w:sz w:val="30"/>
        </w:rPr>
        <w:t>CHAPTER 11: EXPERIMENTAL RESULTS &amp; EVALUATION</w:t>
      </w:r>
    </w:p>
    <w:p>
      <w:r>
        <w:t>The AgriLink platform underwent comprehensive empirical evaluation across recommendation accuracy, natural language understanding, database query execution, and API throughput under load.</w:t>
      </w:r>
    </w:p>
    <w:p>
      <w:pPr>
        <w:pStyle w:val="Heading2"/>
        <w:spacing w:before="280" w:after="120"/>
      </w:pPr>
      <w:r>
        <w:rPr>
          <w:rFonts w:ascii="Times New Roman" w:hAnsi="Times New Roman"/>
          <w:b/>
          <w:color w:val="1E4620"/>
          <w:sz w:val="25"/>
        </w:rPr>
        <w:t>11.1 Recommendation Engine Benchmarks</w:t>
      </w:r>
    </w:p>
    <w:p>
      <w:r>
        <w:t>A 5-fold cross-validation protocol was executed on the 607 interaction records (80% training, 20% hold-out test set). The AgriLink Hybrid model was compared against Popularity, Content-Based, and pure Matrix Factorization baselines: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880"/>
            <w:shd w:fill="1B365D"/>
            <w:tcMar>
              <w:top w:w="100" w:type="dxa"/>
              <w:bottom w:w="100" w:type="dxa"/>
              <w:left w:w="80" w:type="dxa"/>
              <w:right w:w="80" w:type="dxa"/>
            </w:tcMar>
          </w:tcPr>
          <w:p>
            <w:pPr>
              <w:jc w:val="center"/>
            </w:pPr>
            <w:r>
              <w:rPr>
                <w:b/>
                <w:color w:val="FFFFFF"/>
                <w:sz w:val="19"/>
              </w:rPr>
              <w:t>Recommendation Model</w:t>
            </w:r>
          </w:p>
        </w:tc>
        <w:tc>
          <w:tcPr>
            <w:tcW w:type="dxa" w:w="1296"/>
            <w:shd w:fill="1B365D"/>
            <w:tcMar>
              <w:top w:w="100" w:type="dxa"/>
              <w:bottom w:w="100" w:type="dxa"/>
              <w:left w:w="80" w:type="dxa"/>
              <w:right w:w="80" w:type="dxa"/>
            </w:tcMar>
          </w:tcPr>
          <w:p>
            <w:pPr>
              <w:jc w:val="center"/>
            </w:pPr>
            <w:r>
              <w:rPr>
                <w:b/>
                <w:color w:val="FFFFFF"/>
                <w:sz w:val="19"/>
              </w:rPr>
              <w:t>Precision@5</w:t>
            </w:r>
          </w:p>
        </w:tc>
        <w:tc>
          <w:tcPr>
            <w:tcW w:type="dxa" w:w="1296"/>
            <w:shd w:fill="1B365D"/>
            <w:tcMar>
              <w:top w:w="100" w:type="dxa"/>
              <w:bottom w:w="100" w:type="dxa"/>
              <w:left w:w="80" w:type="dxa"/>
              <w:right w:w="80" w:type="dxa"/>
            </w:tcMar>
          </w:tcPr>
          <w:p>
            <w:pPr>
              <w:jc w:val="center"/>
            </w:pPr>
            <w:r>
              <w:rPr>
                <w:b/>
                <w:color w:val="FFFFFF"/>
                <w:sz w:val="19"/>
              </w:rPr>
              <w:t>Precision@10</w:t>
            </w:r>
          </w:p>
        </w:tc>
        <w:tc>
          <w:tcPr>
            <w:tcW w:type="dxa" w:w="1296"/>
            <w:shd w:fill="1B365D"/>
            <w:tcMar>
              <w:top w:w="100" w:type="dxa"/>
              <w:bottom w:w="100" w:type="dxa"/>
              <w:left w:w="80" w:type="dxa"/>
              <w:right w:w="80" w:type="dxa"/>
            </w:tcMar>
          </w:tcPr>
          <w:p>
            <w:pPr>
              <w:jc w:val="center"/>
            </w:pPr>
            <w:r>
              <w:rPr>
                <w:b/>
                <w:color w:val="FFFFFF"/>
                <w:sz w:val="19"/>
              </w:rPr>
              <w:t>Recall@10</w:t>
            </w:r>
          </w:p>
        </w:tc>
        <w:tc>
          <w:tcPr>
            <w:tcW w:type="dxa" w:w="1296"/>
            <w:shd w:fill="1B365D"/>
            <w:tcMar>
              <w:top w:w="100" w:type="dxa"/>
              <w:bottom w:w="100" w:type="dxa"/>
              <w:left w:w="80" w:type="dxa"/>
              <w:right w:w="80" w:type="dxa"/>
            </w:tcMar>
          </w:tcPr>
          <w:p>
            <w:pPr>
              <w:jc w:val="center"/>
            </w:pPr>
            <w:r>
              <w:rPr>
                <w:b/>
                <w:color w:val="FFFFFF"/>
                <w:sz w:val="19"/>
              </w:rPr>
              <w:t>NDCG@10</w:t>
            </w:r>
          </w:p>
        </w:tc>
        <w:tc>
          <w:tcPr>
            <w:tcW w:type="dxa" w:w="1440"/>
            <w:shd w:fill="1B365D"/>
            <w:tcMar>
              <w:top w:w="100" w:type="dxa"/>
              <w:bottom w:w="100" w:type="dxa"/>
              <w:left w:w="80" w:type="dxa"/>
              <w:right w:w="80" w:type="dxa"/>
            </w:tcMar>
          </w:tcPr>
          <w:p>
            <w:pPr>
              <w:jc w:val="center"/>
            </w:pPr>
            <w:r>
              <w:rPr>
                <w:b/>
                <w:color w:val="FFFFFF"/>
                <w:sz w:val="19"/>
              </w:rPr>
              <w:t>Latency</w:t>
            </w:r>
          </w:p>
        </w:tc>
      </w:tr>
      <w:tr>
        <w:tc>
          <w:tcPr>
            <w:tcW w:type="dxa" w:w="2880"/>
            <w:shd w:fill="FFFFFF"/>
            <w:tcMar>
              <w:top w:w="70" w:type="dxa"/>
              <w:bottom w:w="70" w:type="dxa"/>
              <w:left w:w="80" w:type="dxa"/>
              <w:right w:w="80" w:type="dxa"/>
            </w:tcMar>
          </w:tcPr>
          <w:p>
            <w:pPr>
              <w:jc w:val="left"/>
            </w:pPr>
            <w:r>
              <w:rPr>
                <w:sz w:val="18"/>
              </w:rPr>
              <w:t>Popularity / Rating Baseline</w:t>
            </w:r>
          </w:p>
        </w:tc>
        <w:tc>
          <w:tcPr>
            <w:tcW w:type="dxa" w:w="1296"/>
            <w:shd w:fill="FFFFFF"/>
            <w:tcMar>
              <w:top w:w="70" w:type="dxa"/>
              <w:bottom w:w="70" w:type="dxa"/>
              <w:left w:w="80" w:type="dxa"/>
              <w:right w:w="80" w:type="dxa"/>
            </w:tcMar>
          </w:tcPr>
          <w:p>
            <w:pPr>
              <w:jc w:val="center"/>
            </w:pPr>
            <w:r>
              <w:rPr>
                <w:sz w:val="18"/>
              </w:rPr>
              <w:t>0.420</w:t>
            </w:r>
          </w:p>
        </w:tc>
        <w:tc>
          <w:tcPr>
            <w:tcW w:type="dxa" w:w="1296"/>
            <w:shd w:fill="FFFFFF"/>
            <w:tcMar>
              <w:top w:w="70" w:type="dxa"/>
              <w:bottom w:w="70" w:type="dxa"/>
              <w:left w:w="80" w:type="dxa"/>
              <w:right w:w="80" w:type="dxa"/>
            </w:tcMar>
          </w:tcPr>
          <w:p>
            <w:pPr>
              <w:jc w:val="center"/>
            </w:pPr>
            <w:r>
              <w:rPr>
                <w:sz w:val="18"/>
              </w:rPr>
              <w:t>0.380</w:t>
            </w:r>
          </w:p>
        </w:tc>
        <w:tc>
          <w:tcPr>
            <w:tcW w:type="dxa" w:w="1296"/>
            <w:shd w:fill="FFFFFF"/>
            <w:tcMar>
              <w:top w:w="70" w:type="dxa"/>
              <w:bottom w:w="70" w:type="dxa"/>
              <w:left w:w="80" w:type="dxa"/>
              <w:right w:w="80" w:type="dxa"/>
            </w:tcMar>
          </w:tcPr>
          <w:p>
            <w:pPr>
              <w:jc w:val="center"/>
            </w:pPr>
            <w:r>
              <w:rPr>
                <w:sz w:val="18"/>
              </w:rPr>
              <w:t>0.310</w:t>
            </w:r>
          </w:p>
        </w:tc>
        <w:tc>
          <w:tcPr>
            <w:tcW w:type="dxa" w:w="1296"/>
            <w:shd w:fill="FFFFFF"/>
            <w:tcMar>
              <w:top w:w="70" w:type="dxa"/>
              <w:bottom w:w="70" w:type="dxa"/>
              <w:left w:w="80" w:type="dxa"/>
              <w:right w:w="80" w:type="dxa"/>
            </w:tcMar>
          </w:tcPr>
          <w:p>
            <w:pPr>
              <w:jc w:val="center"/>
            </w:pPr>
            <w:r>
              <w:rPr>
                <w:sz w:val="18"/>
              </w:rPr>
              <w:t>0.512</w:t>
            </w:r>
          </w:p>
        </w:tc>
        <w:tc>
          <w:tcPr>
            <w:tcW w:type="dxa" w:w="1440"/>
            <w:shd w:fill="FFFFFF"/>
            <w:tcMar>
              <w:top w:w="70" w:type="dxa"/>
              <w:bottom w:w="70" w:type="dxa"/>
              <w:left w:w="80" w:type="dxa"/>
              <w:right w:w="80" w:type="dxa"/>
            </w:tcMar>
          </w:tcPr>
          <w:p>
            <w:pPr>
              <w:jc w:val="center"/>
            </w:pPr>
            <w:r>
              <w:rPr>
                <w:sz w:val="18"/>
              </w:rPr>
              <w:t>1.2 ms</w:t>
            </w:r>
          </w:p>
        </w:tc>
      </w:tr>
      <w:tr>
        <w:tc>
          <w:tcPr>
            <w:tcW w:type="dxa" w:w="2880"/>
            <w:shd w:fill="F8F9FA"/>
            <w:tcMar>
              <w:top w:w="70" w:type="dxa"/>
              <w:bottom w:w="70" w:type="dxa"/>
              <w:left w:w="80" w:type="dxa"/>
              <w:right w:w="80" w:type="dxa"/>
            </w:tcMar>
          </w:tcPr>
          <w:p>
            <w:pPr>
              <w:jc w:val="left"/>
            </w:pPr>
            <w:r>
              <w:rPr>
                <w:sz w:val="18"/>
              </w:rPr>
              <w:t>Pure Content-Based (TF-IDF)</w:t>
            </w:r>
          </w:p>
        </w:tc>
        <w:tc>
          <w:tcPr>
            <w:tcW w:type="dxa" w:w="1296"/>
            <w:shd w:fill="F8F9FA"/>
            <w:tcMar>
              <w:top w:w="70" w:type="dxa"/>
              <w:bottom w:w="70" w:type="dxa"/>
              <w:left w:w="80" w:type="dxa"/>
              <w:right w:w="80" w:type="dxa"/>
            </w:tcMar>
          </w:tcPr>
          <w:p>
            <w:pPr>
              <w:jc w:val="center"/>
            </w:pPr>
            <w:r>
              <w:rPr>
                <w:sz w:val="18"/>
              </w:rPr>
              <w:t>0.680</w:t>
            </w:r>
          </w:p>
        </w:tc>
        <w:tc>
          <w:tcPr>
            <w:tcW w:type="dxa" w:w="1296"/>
            <w:shd w:fill="F8F9FA"/>
            <w:tcMar>
              <w:top w:w="70" w:type="dxa"/>
              <w:bottom w:w="70" w:type="dxa"/>
              <w:left w:w="80" w:type="dxa"/>
              <w:right w:w="80" w:type="dxa"/>
            </w:tcMar>
          </w:tcPr>
          <w:p>
            <w:pPr>
              <w:jc w:val="center"/>
            </w:pPr>
            <w:r>
              <w:rPr>
                <w:sz w:val="18"/>
              </w:rPr>
              <w:t>0.620</w:t>
            </w:r>
          </w:p>
        </w:tc>
        <w:tc>
          <w:tcPr>
            <w:tcW w:type="dxa" w:w="1296"/>
            <w:shd w:fill="F8F9FA"/>
            <w:tcMar>
              <w:top w:w="70" w:type="dxa"/>
              <w:bottom w:w="70" w:type="dxa"/>
              <w:left w:w="80" w:type="dxa"/>
              <w:right w:w="80" w:type="dxa"/>
            </w:tcMar>
          </w:tcPr>
          <w:p>
            <w:pPr>
              <w:jc w:val="center"/>
            </w:pPr>
            <w:r>
              <w:rPr>
                <w:sz w:val="18"/>
              </w:rPr>
              <w:t>0.580</w:t>
            </w:r>
          </w:p>
        </w:tc>
        <w:tc>
          <w:tcPr>
            <w:tcW w:type="dxa" w:w="1296"/>
            <w:shd w:fill="F8F9FA"/>
            <w:tcMar>
              <w:top w:w="70" w:type="dxa"/>
              <w:bottom w:w="70" w:type="dxa"/>
              <w:left w:w="80" w:type="dxa"/>
              <w:right w:w="80" w:type="dxa"/>
            </w:tcMar>
          </w:tcPr>
          <w:p>
            <w:pPr>
              <w:jc w:val="center"/>
            </w:pPr>
            <w:r>
              <w:rPr>
                <w:sz w:val="18"/>
              </w:rPr>
              <w:t>0.724</w:t>
            </w:r>
          </w:p>
        </w:tc>
        <w:tc>
          <w:tcPr>
            <w:tcW w:type="dxa" w:w="1440"/>
            <w:shd w:fill="F8F9FA"/>
            <w:tcMar>
              <w:top w:w="70" w:type="dxa"/>
              <w:bottom w:w="70" w:type="dxa"/>
              <w:left w:w="80" w:type="dxa"/>
              <w:right w:w="80" w:type="dxa"/>
            </w:tcMar>
          </w:tcPr>
          <w:p>
            <w:pPr>
              <w:jc w:val="center"/>
            </w:pPr>
            <w:r>
              <w:rPr>
                <w:sz w:val="18"/>
              </w:rPr>
              <w:t>4.8 ms</w:t>
            </w:r>
          </w:p>
        </w:tc>
      </w:tr>
      <w:tr>
        <w:tc>
          <w:tcPr>
            <w:tcW w:type="dxa" w:w="2880"/>
            <w:shd w:fill="FFFFFF"/>
            <w:tcMar>
              <w:top w:w="70" w:type="dxa"/>
              <w:bottom w:w="70" w:type="dxa"/>
              <w:left w:w="80" w:type="dxa"/>
              <w:right w:w="80" w:type="dxa"/>
            </w:tcMar>
          </w:tcPr>
          <w:p>
            <w:pPr>
              <w:jc w:val="left"/>
            </w:pPr>
            <w:r>
              <w:rPr>
                <w:sz w:val="18"/>
              </w:rPr>
              <w:t>Pure Matrix Factorization (SVD)</w:t>
            </w:r>
          </w:p>
        </w:tc>
        <w:tc>
          <w:tcPr>
            <w:tcW w:type="dxa" w:w="1296"/>
            <w:shd w:fill="FFFFFF"/>
            <w:tcMar>
              <w:top w:w="70" w:type="dxa"/>
              <w:bottom w:w="70" w:type="dxa"/>
              <w:left w:w="80" w:type="dxa"/>
              <w:right w:w="80" w:type="dxa"/>
            </w:tcMar>
          </w:tcPr>
          <w:p>
            <w:pPr>
              <w:jc w:val="center"/>
            </w:pPr>
            <w:r>
              <w:rPr>
                <w:sz w:val="18"/>
              </w:rPr>
              <w:t>0.810</w:t>
            </w:r>
          </w:p>
        </w:tc>
        <w:tc>
          <w:tcPr>
            <w:tcW w:type="dxa" w:w="1296"/>
            <w:shd w:fill="FFFFFF"/>
            <w:tcMar>
              <w:top w:w="70" w:type="dxa"/>
              <w:bottom w:w="70" w:type="dxa"/>
              <w:left w:w="80" w:type="dxa"/>
              <w:right w:w="80" w:type="dxa"/>
            </w:tcMar>
          </w:tcPr>
          <w:p>
            <w:pPr>
              <w:jc w:val="center"/>
            </w:pPr>
            <w:r>
              <w:rPr>
                <w:sz w:val="18"/>
              </w:rPr>
              <w:t>0.760</w:t>
            </w:r>
          </w:p>
        </w:tc>
        <w:tc>
          <w:tcPr>
            <w:tcW w:type="dxa" w:w="1296"/>
            <w:shd w:fill="FFFFFF"/>
            <w:tcMar>
              <w:top w:w="70" w:type="dxa"/>
              <w:bottom w:w="70" w:type="dxa"/>
              <w:left w:w="80" w:type="dxa"/>
              <w:right w:w="80" w:type="dxa"/>
            </w:tcMar>
          </w:tcPr>
          <w:p>
            <w:pPr>
              <w:jc w:val="center"/>
            </w:pPr>
            <w:r>
              <w:rPr>
                <w:sz w:val="18"/>
              </w:rPr>
              <w:t>0.710</w:t>
            </w:r>
          </w:p>
        </w:tc>
        <w:tc>
          <w:tcPr>
            <w:tcW w:type="dxa" w:w="1296"/>
            <w:shd w:fill="FFFFFF"/>
            <w:tcMar>
              <w:top w:w="70" w:type="dxa"/>
              <w:bottom w:w="70" w:type="dxa"/>
              <w:left w:w="80" w:type="dxa"/>
              <w:right w:w="80" w:type="dxa"/>
            </w:tcMar>
          </w:tcPr>
          <w:p>
            <w:pPr>
              <w:jc w:val="center"/>
            </w:pPr>
            <w:r>
              <w:rPr>
                <w:sz w:val="18"/>
              </w:rPr>
              <w:t>0.835</w:t>
            </w:r>
          </w:p>
        </w:tc>
        <w:tc>
          <w:tcPr>
            <w:tcW w:type="dxa" w:w="1440"/>
            <w:shd w:fill="FFFFFF"/>
            <w:tcMar>
              <w:top w:w="70" w:type="dxa"/>
              <w:bottom w:w="70" w:type="dxa"/>
              <w:left w:w="80" w:type="dxa"/>
              <w:right w:w="80" w:type="dxa"/>
            </w:tcMar>
          </w:tcPr>
          <w:p>
            <w:pPr>
              <w:jc w:val="center"/>
            </w:pPr>
            <w:r>
              <w:rPr>
                <w:sz w:val="18"/>
              </w:rPr>
              <w:t>3.1 ms</w:t>
            </w:r>
          </w:p>
        </w:tc>
      </w:tr>
      <w:tr>
        <w:tc>
          <w:tcPr>
            <w:tcW w:type="dxa" w:w="2880"/>
            <w:shd w:fill="F8F9FA"/>
            <w:tcMar>
              <w:top w:w="70" w:type="dxa"/>
              <w:bottom w:w="70" w:type="dxa"/>
              <w:left w:w="80" w:type="dxa"/>
              <w:right w:w="80" w:type="dxa"/>
            </w:tcMar>
          </w:tcPr>
          <w:p>
            <w:pPr>
              <w:jc w:val="left"/>
            </w:pPr>
            <w:r>
              <w:rPr>
                <w:b/>
                <w:sz w:val="18"/>
              </w:rPr>
              <w:t>AgriLink Hybrid (SVD + TF-IDF)</w:t>
            </w:r>
          </w:p>
        </w:tc>
        <w:tc>
          <w:tcPr>
            <w:tcW w:type="dxa" w:w="1296"/>
            <w:shd w:fill="F8F9FA"/>
            <w:tcMar>
              <w:top w:w="70" w:type="dxa"/>
              <w:bottom w:w="70" w:type="dxa"/>
              <w:left w:w="80" w:type="dxa"/>
              <w:right w:w="80" w:type="dxa"/>
            </w:tcMar>
          </w:tcPr>
          <w:p>
            <w:pPr>
              <w:jc w:val="center"/>
            </w:pPr>
            <w:r>
              <w:rPr>
                <w:b/>
                <w:sz w:val="18"/>
              </w:rPr>
              <w:t>0.892</w:t>
            </w:r>
          </w:p>
        </w:tc>
        <w:tc>
          <w:tcPr>
            <w:tcW w:type="dxa" w:w="1296"/>
            <w:shd w:fill="F8F9FA"/>
            <w:tcMar>
              <w:top w:w="70" w:type="dxa"/>
              <w:bottom w:w="70" w:type="dxa"/>
              <w:left w:w="80" w:type="dxa"/>
              <w:right w:w="80" w:type="dxa"/>
            </w:tcMar>
          </w:tcPr>
          <w:p>
            <w:pPr>
              <w:jc w:val="center"/>
            </w:pPr>
            <w:r>
              <w:rPr>
                <w:b/>
                <w:sz w:val="18"/>
              </w:rPr>
              <w:t>0.845</w:t>
            </w:r>
          </w:p>
        </w:tc>
        <w:tc>
          <w:tcPr>
            <w:tcW w:type="dxa" w:w="1296"/>
            <w:shd w:fill="F8F9FA"/>
            <w:tcMar>
              <w:top w:w="70" w:type="dxa"/>
              <w:bottom w:w="70" w:type="dxa"/>
              <w:left w:w="80" w:type="dxa"/>
              <w:right w:w="80" w:type="dxa"/>
            </w:tcMar>
          </w:tcPr>
          <w:p>
            <w:pPr>
              <w:jc w:val="center"/>
            </w:pPr>
            <w:r>
              <w:rPr>
                <w:b/>
                <w:sz w:val="18"/>
              </w:rPr>
              <w:t>0.812</w:t>
            </w:r>
          </w:p>
        </w:tc>
        <w:tc>
          <w:tcPr>
            <w:tcW w:type="dxa" w:w="1296"/>
            <w:shd w:fill="F8F9FA"/>
            <w:tcMar>
              <w:top w:w="70" w:type="dxa"/>
              <w:bottom w:w="70" w:type="dxa"/>
              <w:left w:w="80" w:type="dxa"/>
              <w:right w:w="80" w:type="dxa"/>
            </w:tcMar>
          </w:tcPr>
          <w:p>
            <w:pPr>
              <w:jc w:val="center"/>
            </w:pPr>
            <w:r>
              <w:rPr>
                <w:b/>
                <w:sz w:val="18"/>
              </w:rPr>
              <w:t>0.914</w:t>
            </w:r>
          </w:p>
        </w:tc>
        <w:tc>
          <w:tcPr>
            <w:tcW w:type="dxa" w:w="1440"/>
            <w:shd w:fill="F8F9FA"/>
            <w:tcMar>
              <w:top w:w="70" w:type="dxa"/>
              <w:bottom w:w="70" w:type="dxa"/>
              <w:left w:w="80" w:type="dxa"/>
              <w:right w:w="80" w:type="dxa"/>
            </w:tcMar>
          </w:tcPr>
          <w:p>
            <w:pPr>
              <w:jc w:val="center"/>
            </w:pPr>
            <w:r>
              <w:rPr>
                <w:b/>
                <w:sz w:val="18"/>
              </w:rPr>
              <w:t>3.8 ms</w:t>
            </w:r>
          </w:p>
        </w:tc>
      </w:tr>
    </w:tbl>
    <w:p>
      <w:pPr>
        <w:spacing w:after="240"/>
      </w:pPr>
    </w:p>
    <w:p>
      <w:r>
        <w:t>Evaluation Metrics Formulation:</w:t>
        <w:br/>
        <w:t>• Precision@K: Measures the proportion of recommended items in the top-K ranking that are relevant to user u.</w:t>
        <w:br/>
        <w:t>• Recall@K: Measures the ratio of relevant items captured within the top-K list relative to all relevant items.</w:t>
        <w:br/>
        <w:t>• Normalized Discounted Cumulative Gain (NDCG@K): Evaluates ranking quality by assigning higher logarithmic penalties to relevant items appearing lower in the list:</w:t>
        <w:br/>
        <w:t xml:space="preserve">  DCG@K = sum_{i=1}^K ( (2^{rel_i} - 1) / log_2(i + 1) ),   NDCG@K = DCG@K / IDCG@K</w:t>
      </w:r>
    </w:p>
    <w:p>
      <w:pPr>
        <w:pStyle w:val="Heading2"/>
        <w:spacing w:before="280" w:after="120"/>
      </w:pPr>
      <w:r>
        <w:rPr>
          <w:rFonts w:ascii="Times New Roman" w:hAnsi="Times New Roman"/>
          <w:b/>
          <w:color w:val="1E4620"/>
          <w:sz w:val="25"/>
        </w:rPr>
        <w:t>11.2 Natural Language &amp; Speech Performance</w:t>
      </w:r>
    </w:p>
    <w:p>
      <w:r>
        <w:t>• ASR Accuracy: Fine-tuning Whisper-base on agricultural accents achieved an 18.5% WER, outperforming baseline Whisper (31.4% WER).</w:t>
        <w:br/>
        <w:t>• Response Latency: Mean speech-in to speech-out turnaround latency was 3.42 seconds on an NVIDIA T4 GPU profile.</w:t>
        <w:br/>
        <w:t>• Factual Relevance: Semantic cosine similarity between generated responses and verified ICAR reference guidelines averaged 0.886.</w:t>
      </w:r>
    </w:p>
    <w:p>
      <w:pPr>
        <w:pStyle w:val="Heading2"/>
        <w:spacing w:before="280" w:after="120"/>
      </w:pPr>
      <w:r>
        <w:rPr>
          <w:rFonts w:ascii="Times New Roman" w:hAnsi="Times New Roman"/>
          <w:b/>
          <w:color w:val="1E4620"/>
          <w:sz w:val="25"/>
        </w:rPr>
        <w:t>11.3 System &amp; API Benchmark</w:t>
      </w:r>
    </w:p>
    <w:p>
      <w:r>
        <w:t>• Throughput: FastAPI handled 680 requests/second under sustained load testing.</w:t>
        <w:br/>
        <w:t>• Database Query Latency: Indexed Supabase PostgreSQL queries executed in under 14ms.</w:t>
      </w:r>
    </w:p>
    <w:p>
      <w:pPr>
        <w:pStyle w:val="Heading1"/>
        <w:spacing w:before="360" w:after="240"/>
      </w:pPr>
      <w:r>
        <w:rPr>
          <w:rFonts w:ascii="Times New Roman" w:hAnsi="Times New Roman"/>
          <w:b/>
          <w:color w:val="1B365D"/>
          <w:sz w:val="30"/>
        </w:rPr>
        <w:t>CHAPTER 12: CONCLUSION &amp; FUTURE ROADMAP</w:t>
      </w:r>
    </w:p>
    <w:p>
      <w:r>
        <w:t>AgriLink establishes a scalable, data-driven framework solving peri-urban agricultural supply chain and advisory challenges. By fusing a 3NF/BCNF relational database with hybrid machine learning recommendations and a multilingual conversational assistant, the platform enhances farmer profitability and delivers fresh, traceable produce to consumers.</w:t>
      </w:r>
    </w:p>
    <w:p>
      <w:r>
        <w:t>Future Research &amp; Engineering Directions:</w:t>
        <w:br/>
        <w:t>1. On-Device Edge Quantization: Deploying quantized ONNX speech models directly to low-cost farmer Android smartphones for offline voice advisory.</w:t>
        <w:br/>
        <w:t>2. Computer Vision Leaf Pathology: Integrating mobile camera CNN classification (YOLOv8 / MobileNetV3) for real-time crop disease detection.</w:t>
        <w:br/>
        <w:t>3. Multi-Hop Cold Chain Routing: Automated Dijkstra and A* vehicle routing optimization for aggregator transit vehicles.</w:t>
      </w:r>
    </w:p>
    <w:p>
      <w:pPr>
        <w:pStyle w:val="Heading1"/>
        <w:spacing w:before="360" w:after="240"/>
      </w:pPr>
      <w:r>
        <w:rPr>
          <w:rFonts w:ascii="Times New Roman" w:hAnsi="Times New Roman"/>
          <w:b/>
          <w:color w:val="1B365D"/>
          <w:sz w:val="30"/>
        </w:rPr>
        <w:t>CHAPTER 13: REFERENCES &amp; BIBLIOGRAPHY</w:t>
      </w:r>
    </w:p>
    <w:p>
      <w:r>
        <w:t>[1] M. Z. U. Rehman, D. Raghuvanshi, and N. Kumar, "KisanQRS: A Deep Learning-based Automated Query-Response System for Agricultural Decision-Making," Computers and Electronics in Agriculture / arXiv:2411.08883v1, pp. 1–28, Oct. 2024.</w:t>
        <w:br/>
        <w:t>[2] A. Rahman, N. T. Shishir, S. Kundu, M. M. Hemal, M. Ashiqussalehin, and S. C. Das, "A Speech-Driven, LLM-Powered Multidomain Assistant for Farmers," in Proc. 2025 IEEE 4th International Conference on Robotics, Automation, Artificial-Intelligence and Internet-of-Things (RAAICON), Dhaka, Bangladesh, Nov. 2025.</w:t>
        <w:br/>
        <w:t>[3] P. D. Reddy, K. S. S. Reddy, P. Jayanth, B. P. Kakarla, and R. M. Balakrishnan, "Agri Assist: An AI Integrated Farmer Assistant," Procedia Computer Science, vol. 258, pp. 3510–3522, Elsevier B.V., Apr. 2025.</w:t>
        <w:br/>
        <w:t>[4] M. V. Abhishek, A. J. Sreekar, D. M. Mohith, S. Vekkot, and B. V., "AgriTalk: Revolutionizing Farming with a Multilingual Chatbot," in Proc. 2025 8th IEEE International Conference on Electronics, Materials Engineering &amp; Nano-Technology (IEMENTech), pp. 1–6, Feb. 2025.</w:t>
        <w:br/>
        <w:t>[5] R. Biswas and N. Goel, "Intelligent Chatbot Assistant in Agriculture Domain," in Communications in Computer and Information Science (CCIS), Department of CSE, Indian Institute of Technology Ropar, pp. 1–15, 2023.</w:t>
        <w:br/>
        <w:t>[6] K. A. Sedek, M. N. Osman, M. A. Omar, M. H. A. Wahab, and S. Z. S. Idrus, "Smart Agro E-Marketplace Architectural Model Based on Cloud Data Platform," Journal of Physics: Conference Series, vol. 1874, no. 012022, pp. 1–8, IOP Publishing, 2021.</w:t>
        <w:br/>
        <w:t>[7] A. Glaros, D. Thomas, E. Nost, E. Nelson, and T. Schumilas, "Digital technologies in local agri-food systems: Opportunities for a more interoperable digital farmgate sector," Frontiers in Sustainable Food Systems, vol. 4, no. 1073873, pp. 1–14, Feb. 2023.</w:t>
        <w:br/>
        <w:t>[8] Ö. Köksal and B. Tekinerdogan, "Architecture design approach for IoT-based farm management information systems," Precision Agriculture, vol. 20, pp. 926–958, Springer, Dec.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