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66"/>
          <w:sz w:val="40"/>
        </w:rPr>
        <w:t>AgriLink: Software Architecture &amp; Requirements Engineering Report</w:t>
      </w:r>
    </w:p>
    <w:p>
      <w:r>
        <w:rPr>
          <w:b/>
          <w:color w:val="2E7D32"/>
          <w:sz w:val="22"/>
        </w:rPr>
        <w:t>SRS, Non-Functional Requirements Mapping, ATAM Evaluation &amp; Architecture Decision Records (ADRs)</w:t>
      </w:r>
    </w:p>
    <w:p>
      <w:r>
        <w:rPr>
          <w:color w:val="5A5A5A"/>
          <w:sz w:val="19"/>
        </w:rPr>
        <w:t>Vidyashilp University — School of Computational and Data Sciences | Course: Microservices &amp; Software Architecture</w:t>
      </w:r>
    </w:p>
    <w:p>
      <w:r>
        <w:rPr>
          <w:color w:val="D2D2D2"/>
        </w:rPr>
        <w:t>―――――――――――――――――――――――――――――――――――――――――――――――――――――――――――――――――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102A66"/>
          <w:sz w:val="28"/>
        </w:rPr>
        <w:t>PART A: Software Requirements Specification (SRS)</w:t>
      </w:r>
    </w:p>
    <w:p>
      <w:r>
        <w:rPr>
          <w:b/>
          <w:color w:val="2E7D32"/>
          <w:sz w:val="23"/>
        </w:rPr>
        <w:t>1. Problem Statement</w:t>
      </w:r>
    </w:p>
    <w:p>
      <w:pPr>
        <w:spacing w:line="276" w:lineRule="auto"/>
      </w:pPr>
      <w:r>
        <w:rPr>
          <w:color w:val="212121"/>
          <w:sz w:val="19"/>
        </w:rPr>
        <w:t>Smallholder farmers in India face severe structural exploitation within traditional APMC mandi supply chains. Due to 4–6 tiers of unregulated intermediaries, farmers capture only 25%–35% of the consumer rupee, suffering extreme price opacity, lack of demand forecasting, delayed payments (45–60 days), and post-harvest transit spoilage exceeding 25%–30%. Meanwhile, urban consumers and bulk institutional buyers (hostels, hospitals) pay inflated retail markups for unstandardized produce with zero origin traceability.</w:t>
      </w:r>
    </w:p>
    <w:p>
      <w:r>
        <w:rPr>
          <w:b/>
          <w:color w:val="2E7D32"/>
          <w:sz w:val="23"/>
        </w:rPr>
        <w:t>2. Project Objectives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1. Disintermediate Agricultural Supply: </w:t>
      </w:r>
      <w:r>
        <w:rPr>
          <w:color w:val="212121"/>
          <w:sz w:val="18"/>
        </w:rPr>
        <w:t xml:space="preserve"> Directly connect smallholder farmers with village aggregation hubs, electric logistics fleets, and retail/institutional buyers.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2. Enforce Fair-Share Economics: </w:t>
      </w:r>
      <w:r>
        <w:rPr>
          <w:color w:val="212121"/>
          <w:sz w:val="18"/>
        </w:rPr>
        <w:t xml:space="preserve"> Implement a transparent, tamper-proof 68-10-14-8 revenue distribution (68% Farmer, 10% Aggregator Hub, 14% Logistics, 8% Platform).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3. Multi-Stakeholder ML Intelligence: </w:t>
      </w:r>
      <w:r>
        <w:rPr>
          <w:color w:val="212121"/>
          <w:sz w:val="18"/>
        </w:rPr>
        <w:t xml:space="preserve"> Deploy dedicated machine learning models for Farmer Price/Harvest Timing, Aggregator Vehicle Routing (VRP), and Customer Personalized Recommendations.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4. Cryptographic Price Immutability: </w:t>
      </w:r>
      <w:r>
        <w:rPr>
          <w:color w:val="212121"/>
          <w:sz w:val="18"/>
        </w:rPr>
        <w:t xml:space="preserve"> Anchor APMC price benchmarks and payment escrow on a Layer-2 blockchain ledger to eliminate price tampering.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5. Ultra-Low Spoilage: </w:t>
      </w:r>
      <w:r>
        <w:rPr>
          <w:color w:val="212121"/>
          <w:sz w:val="18"/>
        </w:rPr>
        <w:t xml:space="preserve"> Optimize a 15–30 km rural catchment and 80–100 km corridor to cut transit loss from 28% to &lt;4%.</w:t>
      </w:r>
    </w:p>
    <w:p>
      <w:r>
        <w:rPr>
          <w:b/>
          <w:color w:val="2E7D32"/>
          <w:sz w:val="23"/>
        </w:rPr>
        <w:t>3. System Stakeholders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Farmers: </w:t>
      </w:r>
      <w:r>
        <w:rPr>
          <w:color w:val="212121"/>
          <w:sz w:val="18"/>
        </w:rPr>
        <w:t xml:space="preserve"> Primary producers listing crops, declaring upcoming harvests, and tracking fair-price realization.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Aggregators (PACS / Village Hubs): </w:t>
      </w:r>
      <w:r>
        <w:rPr>
          <w:color w:val="212121"/>
          <w:sz w:val="18"/>
        </w:rPr>
        <w:t xml:space="preserve"> Local partners performing digital weighment, optical quality grading (Grade A/B/C), crate consolidation, and dispatch.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Clients / Buyers (Retail Consumers, Hostels, Hospitals): </w:t>
      </w:r>
      <w:r>
        <w:rPr>
          <w:color w:val="212121"/>
          <w:sz w:val="18"/>
        </w:rPr>
        <w:t xml:space="preserve"> End consumers purchasing farm-fresh produce with scheduled or standing orders.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Delivery Partners (Logistics Fleet): </w:t>
      </w:r>
      <w:r>
        <w:rPr>
          <w:color w:val="212121"/>
          <w:sz w:val="18"/>
        </w:rPr>
        <w:t xml:space="preserve"> Electric vehicle drivers executing corridor transit and last-mile deliveries with OTP verification.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Platform Administrators: </w:t>
      </w:r>
      <w:r>
        <w:rPr>
          <w:color w:val="212121"/>
          <w:sz w:val="18"/>
        </w:rPr>
        <w:t xml:space="preserve"> Governance team monitoring ecosystem health, ML pipelines, dispute arbitration, and ledger integrity.</w:t>
      </w:r>
    </w:p>
    <w:p>
      <w:r>
        <w:rPr>
          <w:b/>
          <w:color w:val="2E7D32"/>
          <w:sz w:val="23"/>
        </w:rPr>
        <w:t>4. System Scope</w:t>
      </w:r>
    </w:p>
    <w:p>
      <w:pPr>
        <w:spacing w:line="276" w:lineRule="auto"/>
      </w:pPr>
      <w:r>
        <w:rPr>
          <w:color w:val="212121"/>
          <w:sz w:val="19"/>
        </w:rPr>
        <w:t>AgriLink encompasses a cross-platform mobile/web application (Flutter), an asynchronous microservices API gateway (FastAPI), an operational transactional database (Supabase PostgreSQL), a multi-model ML inference pipeline, and an immutable Layer-2 blockchain smart contract escrow mechanism across rural aggregation and urban consumption corridors.</w:t>
      </w:r>
    </w:p>
    <w:p>
      <w:r>
        <w:rPr>
          <w:b/>
          <w:color w:val="102A66"/>
          <w:sz w:val="28"/>
        </w:rPr>
        <w:t>PART B: Functional Requirements (FRs)</w:t>
      </w:r>
    </w:p>
    <w:p>
      <w:r>
        <w:rPr>
          <w:b/>
          <w:color w:val="2E7D32"/>
          <w:sz w:val="23"/>
        </w:rPr>
        <w:t>Farmer Module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 (Farmer Authentication &amp; KYC): </w:t>
      </w:r>
      <w:r>
        <w:rPr>
          <w:color w:val="212121"/>
          <w:sz w:val="18"/>
        </w:rPr>
        <w:t xml:space="preserve"> The system shall allow farmers to register, authenticate via mobile OTP/voice credentials, and manage farm profiles (land acreage, geo-coordinates, crop specializations).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FR2 (Crop Harvest Pre-Declaration &amp; Listing): </w:t>
      </w:r>
      <w:r>
        <w:rPr>
          <w:color w:val="212121"/>
          <w:sz w:val="18"/>
        </w:rPr>
        <w:t xml:space="preserve"> The system shall enable farmers to pre-declare harvest schedules (crop type, expected yield in kg, harvest date, vernacular voice/photo notes) up to 72 hours in advance.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FR3 (Dynamic Price Discovery &amp; Realization Guidance): </w:t>
      </w:r>
      <w:r>
        <w:rPr>
          <w:color w:val="212121"/>
          <w:sz w:val="18"/>
        </w:rPr>
        <w:t xml:space="preserve"> The system shall display real-time APMC modal prices, quality grade multipliers, and estimated take-home realization (68% net payout breakdown).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FR4 (Order Tracking &amp; Instant Escrow Settlement): </w:t>
      </w:r>
      <w:r>
        <w:rPr>
          <w:color w:val="212121"/>
          <w:sz w:val="18"/>
        </w:rPr>
        <w:t xml:space="preserve"> The system shall provide real-time batch lifecycle status (Declared ➔ Aggregated ➔ In-Transit ➔ Delivered) and notify farmers upon instant UPI escrow payout release.</w:t>
      </w:r>
    </w:p>
    <w:p>
      <w:r>
        <w:rPr>
          <w:b/>
          <w:color w:val="2E7D32"/>
          <w:sz w:val="23"/>
        </w:rPr>
        <w:t>Aggregator Module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FR5 (Farmer Sourcing &amp; Cohort Management): </w:t>
      </w:r>
      <w:r>
        <w:rPr>
          <w:color w:val="212121"/>
          <w:sz w:val="18"/>
        </w:rPr>
        <w:t xml:space="preserve"> The system shall allow aggregators to onboard local farmers within a 15–30 km catchment radius and manage village-level producer cohorts.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FR6 (Batch Weighment &amp; Optical Quality Assay): </w:t>
      </w:r>
      <w:r>
        <w:rPr>
          <w:color w:val="212121"/>
          <w:sz w:val="18"/>
        </w:rPr>
        <w:t xml:space="preserve"> The system shall record digital weighment data, capture produce imagery for AI/manual grading (Grade A/B/C), and issue digital assay receipts.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FR7 (Inventory &amp; Micro-Hub Staging): </w:t>
      </w:r>
      <w:r>
        <w:rPr>
          <w:color w:val="212121"/>
          <w:sz w:val="18"/>
        </w:rPr>
        <w:t xml:space="preserve"> The system shall track real-time physical holding inventory across village collection points and manage crate allocations.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FR8 (Batch Consolidation &amp; Dispatch Approval): </w:t>
      </w:r>
      <w:r>
        <w:rPr>
          <w:color w:val="212121"/>
          <w:sz w:val="18"/>
        </w:rPr>
        <w:t xml:space="preserve"> The system shall aggregate small farmer batches into commercial wholesale lots and approve manifests for corridor vehicle loading.</w:t>
      </w:r>
    </w:p>
    <w:p>
      <w:r>
        <w:rPr>
          <w:b/>
          <w:color w:val="2E7D32"/>
          <w:sz w:val="23"/>
        </w:rPr>
        <w:t>Client / Buyer Module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FR9 (Client Registration &amp; Role Profile): </w:t>
      </w:r>
      <w:r>
        <w:rPr>
          <w:color w:val="212121"/>
          <w:sz w:val="18"/>
        </w:rPr>
        <w:t xml:space="preserve"> The system shall allow retail consumers and institutional procurement managers (Hostels, Hospitals) to register and configure delivery profiles.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FR10 (Multi-Lingual Search &amp; PRF Query Expansion): </w:t>
      </w:r>
      <w:r>
        <w:rPr>
          <w:color w:val="212121"/>
          <w:sz w:val="18"/>
        </w:rPr>
        <w:t xml:space="preserve"> The system shall execute vernacular text/voice search with Pseudo-Relevance Feedback (PRF) for semantic produce discovery.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FR11 (AI-Driven Personalized Produce Feed): </w:t>
      </w:r>
      <w:r>
        <w:rPr>
          <w:color w:val="212121"/>
          <w:sz w:val="18"/>
        </w:rPr>
        <w:t xml:space="preserve"> The system shall generate multi-model recommendations including Buy Again (Recency/Frequency), Recommended For You (Cosine Collaborative), and Frequently Bought Together (FP-Growth).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FR12 (Cart Management &amp; Multi-Tier Ordering): </w:t>
      </w:r>
      <w:r>
        <w:rPr>
          <w:color w:val="212121"/>
          <w:sz w:val="18"/>
        </w:rPr>
        <w:t xml:space="preserve"> The system shall support regular retail shopping, standing recurring orders for institutions, and emergency bulk procurement.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FR13 (Secure Checkout &amp; Non-Custodial Escrow Payment): </w:t>
      </w:r>
      <w:r>
        <w:rPr>
          <w:color w:val="212121"/>
          <w:sz w:val="18"/>
        </w:rPr>
        <w:t xml:space="preserve"> The system shall process payments via UPI/cards/net-banking and lock funds in a smart contract escrow vault until delivery.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FR14 (Real-Time Order Tracking &amp; QR Provenance): </w:t>
      </w:r>
      <w:r>
        <w:rPr>
          <w:color w:val="212121"/>
          <w:sz w:val="18"/>
        </w:rPr>
        <w:t xml:space="preserve"> The system shall provide live dispatch tracking and render cryptographic QR provenance details (farm origin GPS, harvest time, farmer payout share).</w:t>
      </w:r>
    </w:p>
    <w:p>
      <w:r>
        <w:rPr>
          <w:b/>
          <w:color w:val="2E7D32"/>
          <w:sz w:val="23"/>
        </w:rPr>
        <w:t>Delivery Partner Module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FR15 (Dynamic Delivery Assignment &amp; VRP Routing): </w:t>
      </w:r>
      <w:r>
        <w:rPr>
          <w:color w:val="212121"/>
          <w:sz w:val="18"/>
        </w:rPr>
        <w:t xml:space="preserve"> The system shall dispatch optimized route manifests to drivers using Capacitated Vehicle Routing Problem (VRP) algorithms.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FR16 (Transit Status &amp; Cold-Chain Telemetry): </w:t>
      </w:r>
      <w:r>
        <w:rPr>
          <w:color w:val="212121"/>
          <w:sz w:val="18"/>
        </w:rPr>
        <w:t xml:space="preserve"> The system shall allow drivers to update transit milestones and log temperature/sensor checkpoints.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FR17 (OTP-Gated Proof of Delivery): </w:t>
      </w:r>
      <w:r>
        <w:rPr>
          <w:color w:val="212121"/>
          <w:sz w:val="18"/>
        </w:rPr>
        <w:t xml:space="preserve"> The system shall require customer OTP verification at drop-off to validate delivery and automatically trigger escrow fund disbursement.</w:t>
      </w:r>
    </w:p>
    <w:p>
      <w:r>
        <w:rPr>
          <w:b/>
          <w:color w:val="2E7D32"/>
          <w:sz w:val="23"/>
        </w:rPr>
        <w:t>Admin Module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FR18 (User Governance &amp; Dispute Arbitration): </w:t>
      </w:r>
      <w:r>
        <w:rPr>
          <w:color w:val="212121"/>
          <w:sz w:val="18"/>
        </w:rPr>
        <w:t xml:space="preserve"> The system shall allow administrators to verify KYC, monitor platform health, resolve quality disputes, and inspect the immutable 68-10-14-8 financial ledger.</w:t>
      </w:r>
    </w:p>
    <w:p>
      <w:r>
        <w:rPr>
          <w:b/>
          <w:color w:val="102A66"/>
          <w:sz w:val="28"/>
        </w:rPr>
        <w:t>PART C: Non-Functional Requirements (NFRs) &amp; Quality Attributes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NFR1 (Performance): </w:t>
      </w:r>
      <w:r>
        <w:rPr>
          <w:color w:val="212121"/>
          <w:sz w:val="18"/>
        </w:rPr>
        <w:t xml:space="preserve"> Latency, throughput, ML sub-50ms inference, rapid search response.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NFR2 (Scalability): </w:t>
      </w:r>
      <w:r>
        <w:rPr>
          <w:color w:val="212121"/>
          <w:sz w:val="18"/>
        </w:rPr>
        <w:t xml:space="preserve"> Peak concurrency handling, independent microservice auto-scaling up to 10,000 active users.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NFR3 (Availability): </w:t>
      </w:r>
      <w:r>
        <w:rPr>
          <w:color w:val="212121"/>
          <w:sz w:val="18"/>
        </w:rPr>
        <w:t xml:space="preserve"> 99.9% uptime, zero single-point-of-failure, offline client caching for rural resilience.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NFR4 (Security): </w:t>
      </w:r>
      <w:r>
        <w:rPr>
          <w:color w:val="212121"/>
          <w:sz w:val="18"/>
        </w:rPr>
        <w:t xml:space="preserve"> JWT RBAC authentication, PostgreSQL RLS data isolation, Polygon Layer-2 price immutability.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NFR5 (Reliability): </w:t>
      </w:r>
      <w:r>
        <w:rPr>
          <w:color w:val="212121"/>
          <w:sz w:val="18"/>
        </w:rPr>
        <w:t xml:space="preserve"> ACID transactions, zero data loss queues (RPO=0), idempotent smart contract escrow.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NFR6 (Maintainability): </w:t>
      </w:r>
      <w:r>
        <w:rPr>
          <w:color w:val="212121"/>
          <w:sz w:val="18"/>
        </w:rPr>
        <w:t xml:space="preserve"> Modular domain services, loose coupling, automated CI/CD container pipelines.</w:t>
      </w:r>
    </w:p>
    <w:p>
      <w:r>
        <w:rPr>
          <w:b/>
          <w:color w:val="102A66"/>
          <w:sz w:val="28"/>
        </w:rPr>
        <w:t>PART D: Detailed FR ➔ NFR Mapping &amp; Quality Specifications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02A66"/>
          </w:tcPr>
          <w:p>
            <w:r>
              <w:rPr>
                <w:b/>
                <w:color w:val="FFFFFF"/>
              </w:rPr>
              <w:t>Functional Requirement (FR)</w:t>
            </w:r>
          </w:p>
        </w:tc>
        <w:tc>
          <w:tcPr>
            <w:tcW w:type="dxa" w:w="3312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312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 – Farmer Register/Login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NFR4: Security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Authentication shall enforce SHA-256 OTP hashing and rate-limit login attempts to 5 per minute per IP.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 – Farmer Register/Login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NFR1: Performance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OTP generation and SMS/Voice delivery trigger shall complete within &lt; 3 seconds.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FR2 – Pre-Declare Product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NFR3: Availability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Farmer app shall support offline local caching; listings sync automatically once rural connectivity is restored.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FR2 – Pre-Declare Product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NFR5: Reliability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Uploaded crop photos and harvest metadata shall be durably persisted across multi-zone object storage.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FR3 – Dynamic Price Discovery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NFR1: Performance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Real-time APMC benchmark and 68% take-home calculation shall compute and render in &lt; 150 ms.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FR3 – Dynamic Price Discovery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NFR4: Security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Price calculations shall be cryptographically signed against official Agmarknet mandi feeds to prevent client-side tampering.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FR6 – Optical Assay &amp; Grading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NFR1: Performance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AI image-based pre-grading inference shall return quality grade classification in &lt; 1.2 seconds.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FR7 – Aggregator Inventory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NFR2: Scalability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Hub inventory service shall synchronize concurrent stock updates across 500+ rural micro-hubs without lock contention.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FR10 – Multi-Lingual Search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NFR1: Performance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95% of vernacular text/voice search queries with PRF expansion shall return results within &lt; 800 ms.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FR10 – Multi-Lingual Search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NFR2: Scalability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Search subsystem shall scale to handle 10,000 concurrent client search requests during peak morning hours.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FR10 – Multi-Lingual Search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NFR3: Availability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Search and catalogue browsing services shall remain available 99.9% of the time.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FR11 – ML Recommendations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NFR1: Performance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Multi-model background recommendations (Buy Again, Collab, FP-Growth) shall execute and stream within &lt; 300 ms.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FR11 – ML Recommendations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NFR5: Reliability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In cold-start scenarios with zero purchase history, the engine shall gracefully fallback to category popularity without throwing exceptions.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FR12 – Place Order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NFR1: Performance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Order submission, validation, and database commitment shall complete within &lt; 2.5 seconds under standard load.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FR12 – Place Order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NFR4: Security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Only authenticated, verified buyer accounts shall be authorized to initiate order creation.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FR12 – Place Order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NFR5: Reliability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An accepted order shall not be lost during temporary network or downstream service partition (ACID persistence).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FR12 – Place Order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NFR3: Availability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The checkout and order placement pipeline shall maintain 99.95% uptime.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FR13 – Escrow Payment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NFR4: Security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Payment transactions shall comply with PCI-DSS standards; smart contract escrow locks funds on-chain with non-custodial logic.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FR13 – Escrow Payment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NFR5: Reliability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Payment callbacks shall be idempotent; network drops during payment shall trigger automated reconciliation within 60 seconds.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FR15 – VRP Route Optimization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NFR1: Performance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Capacitated Vehicle Routing Problem (VRP) batch route computation for 50 drop-off nodes shall complete in &lt; 4 seconds.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FR17 – OTP Proof of Delivery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NFR4: Security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212121"/>
                <w:sz w:val="17"/>
              </w:rPr>
              <w:t>Delivery OTP verification shall be cryptographically checked; successful match triggers automated on-chain fund release.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FR17 – OTP Proof of Delivery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NFR5: Reliability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212121"/>
                <w:sz w:val="17"/>
              </w:rPr>
              <w:t>Settlement trigger shall guarantee single-execution payout dispatch (zero duplicate fund transfer).</w:t>
            </w:r>
          </w:p>
        </w:tc>
      </w:tr>
    </w:tbl>
    <w:p/>
    <w:p>
      <w:r>
        <w:rPr>
          <w:b/>
          <w:color w:val="102A66"/>
          <w:sz w:val="28"/>
        </w:rPr>
        <w:t>PART E: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02A66"/>
          </w:tcPr>
          <w:p>
            <w:r>
              <w:rPr>
                <w:b/>
                <w:color w:val="FFFFFF"/>
              </w:rPr>
              <w:t>Functional Requirement Module</w:t>
            </w:r>
          </w:p>
        </w:tc>
        <w:tc>
          <w:tcPr>
            <w:tcW w:type="dxa" w:w="1656"/>
            <w:shd w:fill="102A66"/>
          </w:tcPr>
          <w:p>
            <w:r>
              <w:rPr>
                <w:b/>
                <w:color w:val="FFFFFF"/>
              </w:rPr>
              <w:t>Performance (NFR1)</w:t>
            </w:r>
          </w:p>
        </w:tc>
        <w:tc>
          <w:tcPr>
            <w:tcW w:type="dxa" w:w="1656"/>
            <w:shd w:fill="102A66"/>
          </w:tcPr>
          <w:p>
            <w:r>
              <w:rPr>
                <w:b/>
                <w:color w:val="FFFFFF"/>
              </w:rPr>
              <w:t>Scalability (NFR2)</w:t>
            </w:r>
          </w:p>
        </w:tc>
        <w:tc>
          <w:tcPr>
            <w:tcW w:type="dxa" w:w="1656"/>
            <w:shd w:fill="102A66"/>
          </w:tcPr>
          <w:p>
            <w:r>
              <w:rPr>
                <w:b/>
                <w:color w:val="FFFFFF"/>
              </w:rPr>
              <w:t>Availability (NFR3)</w:t>
            </w:r>
          </w:p>
        </w:tc>
        <w:tc>
          <w:tcPr>
            <w:tcW w:type="dxa" w:w="1656"/>
            <w:shd w:fill="102A66"/>
          </w:tcPr>
          <w:p>
            <w:r>
              <w:rPr>
                <w:b/>
                <w:color w:val="FFFFFF"/>
              </w:rPr>
              <w:t>Security (NFR4)</w:t>
            </w:r>
          </w:p>
        </w:tc>
        <w:tc>
          <w:tcPr>
            <w:tcW w:type="dxa" w:w="1656"/>
            <w:shd w:fill="102A66"/>
          </w:tcPr>
          <w:p>
            <w:r>
              <w:rPr>
                <w:b/>
                <w:color w:val="FFFFFF"/>
              </w:rPr>
              <w:t>Reliability (NFR5)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FR1 – Farmer Register / Auth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FR2 – Crop Harvest Pre-Declaration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FR3 – Dynamic Price Discovery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FR4 – Order Status &amp; Payout Notify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FR5 – Aggregator Farmer Management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FR6 – Quality Assay &amp; Grading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FR7 – Micro-Hub Inventory Staging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FR8 – Batch Consolidation &amp; Dispatch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FR9 – Client Profile &amp; Auth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FR10 – Search &amp; PRF Query Expansion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FR11 – ML Personalized Recs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FR12 – Cart &amp; Order Placement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FR13 – Escrow Payment Processing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FR14 – Live Tracking &amp; QR Provenance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FR15 – Logistics VRP Assignment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FR16 – Cold-Chain Transit Telemetry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color w:val="212121"/>
                <w:sz w:val="17"/>
              </w:rPr>
              <w:t>FR17 – Delivery OTP Confirmation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color w:val="212121"/>
                <w:sz w:val="17"/>
              </w:rPr>
              <w:t>FR18 – Platform Admin &amp; Ledger Audit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</w:tbl>
    <w:p/>
    <w:p>
      <w:r>
        <w:rPr>
          <w:b/>
          <w:color w:val="102A66"/>
          <w:sz w:val="28"/>
        </w:rPr>
        <w:t>PART F: Major Business Modules (7 Subsystems)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1. User &amp; Identity Service: </w:t>
      </w:r>
      <w:r>
        <w:rPr>
          <w:color w:val="212121"/>
          <w:sz w:val="18"/>
        </w:rPr>
        <w:t xml:space="preserve"> Handles multi-role registration, phone/OTP verification, RBAC authorization, and profiles for Farmers, Aggregators, Buyers, and Logistics.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2. Product Catalog &amp; Inventory Service: </w:t>
      </w:r>
      <w:r>
        <w:rPr>
          <w:color w:val="212121"/>
          <w:sz w:val="18"/>
        </w:rPr>
        <w:t xml:space="preserve"> Manages crop taxonomy, harvest listings, village micro-hub stock staging, and crate allocation.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3. Dynamic Pricing &amp; APMC Engine: </w:t>
      </w:r>
      <w:r>
        <w:rPr>
          <w:color w:val="212121"/>
          <w:sz w:val="18"/>
        </w:rPr>
        <w:t xml:space="preserve"> Integrates daily Agmarknet modal benchmarks, applies quality/organic coefficients, and calculates transparent 68-10-14-8 cost waterfalls.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4. Machine Learning &amp; Recommendation Service: </w:t>
      </w:r>
      <w:r>
        <w:rPr>
          <w:color w:val="212121"/>
          <w:sz w:val="18"/>
        </w:rPr>
        <w:t xml:space="preserve"> Executes NLP query expansion (PRF), clickstream telemetry mining, and multi-model personalized feeds (Buy Again, Collaborative Filtering, FP-Growth).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5. Order Management &amp; Workflow Service: </w:t>
      </w:r>
      <w:r>
        <w:rPr>
          <w:color w:val="212121"/>
          <w:sz w:val="18"/>
        </w:rPr>
        <w:t xml:space="preserve"> Coordinates multi-tier order lifecycles (retail cart, institutional recurring standing orders, bulk hospital orders).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6. Payment &amp; Blockchain Escrow Service: </w:t>
      </w:r>
      <w:r>
        <w:rPr>
          <w:color w:val="212121"/>
          <w:sz w:val="18"/>
        </w:rPr>
        <w:t xml:space="preserve"> Interacts with payment gateways, anchors transaction Merkle hashes on Polygon Layer-2, and manages automated non-custodial escrow release.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7. Logistics &amp; Fleet Optimization Service: </w:t>
      </w:r>
      <w:r>
        <w:rPr>
          <w:color w:val="212121"/>
          <w:sz w:val="18"/>
        </w:rPr>
        <w:t xml:space="preserve"> Runs Capacitated Vehicle Routing Problem (VRP) algorithms for 15–30 km aggregation collection and 85 km corridor dispatch with IoT telemetry.</w:t>
      </w:r>
    </w:p>
    <w:p>
      <w:r>
        <w:rPr>
          <w:b/>
          <w:color w:val="102A66"/>
          <w:sz w:val="28"/>
        </w:rPr>
        <w:t>PART G: Architecture Alternatives &amp; ATAM Trade-Off Evaluation</w:t>
      </w:r>
    </w:p>
    <w:p>
      <w:pPr>
        <w:spacing w:line="276" w:lineRule="auto"/>
      </w:pPr>
      <w:r>
        <w:rPr>
          <w:color w:val="212121"/>
          <w:sz w:val="19"/>
        </w:rPr>
        <w:t>To determine the optimal software architecture, four major architectural styles were evaluated using the Architecture Tradeoff Analysis Method (ATAM): Option 1 (Monolithic), Option 2 (Pure Microservices), Option 3 (Layered Hybrid Microservices with API Gateway), and Option 4 (Serverless FaaS).</w:t>
      </w:r>
    </w:p>
    <w:p>
      <w:r>
        <w:rPr>
          <w:b/>
          <w:color w:val="2E7D32"/>
          <w:sz w:val="23"/>
        </w:rPr>
        <w:t>ATAM Trade-Off Table: FR10 — Product Search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Monolithic Architecture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Microservices Architecture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ATAM Architectural Observation</w:t>
            </w:r>
          </w:p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Performance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Medium–High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Monolith has in-process memory calls; Microservices introduce minor network latency across gateway.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Scalability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Medium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Search spikes during harvest morning hours can scale Search/ML service independently without replicating whole app.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Availability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Medium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Failure in payment or logistics services does not take down catalog browsing or search functionality.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Security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Both implement JWT authentication and rate-limiting at the entry point.</w:t>
            </w:r>
          </w:p>
        </w:tc>
      </w:tr>
    </w:tbl>
    <w:p/>
    <w:p>
      <w:r>
        <w:rPr>
          <w:b/>
          <w:color w:val="2E7D32"/>
          <w:sz w:val="23"/>
        </w:rPr>
        <w:t>ATAM Trade-Off Table: FR12 — Place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Monolithic Architecture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Microservices Architecture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ATAM Architectural Observation</w:t>
            </w:r>
          </w:p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Performance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Lower under heavy load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Medium–High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Microservice async queueing prevents DB lock contention during checkout surges.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Scalability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Scale whole application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Order Service and Inventory Service scale independently based on transaction throughput.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Availability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Medium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Services can be independently replicated; order intake survives analytics outages.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Security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High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7"/>
              </w:rPr>
              <w:t>Centralized API gateway enforces strict token validation and RBAC checks.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Reliability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High (Single ACID DB)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High*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7"/>
              </w:rPr>
              <w:t>Utilizes transactional outbox pattern to preserve ACID compliance across distributed events.</w:t>
            </w:r>
          </w:p>
        </w:tc>
      </w:tr>
    </w:tbl>
    <w:p/>
    <w:p>
      <w:r>
        <w:rPr>
          <w:b/>
          <w:color w:val="102A66"/>
          <w:sz w:val="28"/>
        </w:rPr>
        <w:t>PART H: Architecture Decision Records (ADRs)</w:t>
      </w:r>
    </w:p>
    <w:p>
      <w:r>
        <w:rPr>
          <w:b/>
          <w:color w:val="2E7D32"/>
          <w:sz w:val="23"/>
        </w:rPr>
        <w:t>ADR 1: Adoption of API Gateway with Layered Microservices Architecture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Status: </w:t>
      </w:r>
      <w:r>
        <w:rPr>
          <w:color w:val="212121"/>
          <w:sz w:val="18"/>
        </w:rPr>
        <w:t xml:space="preserve"> ACCEPTED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Context: </w:t>
      </w:r>
      <w:r>
        <w:rPr>
          <w:color w:val="212121"/>
          <w:sz w:val="18"/>
        </w:rPr>
        <w:t xml:space="preserve"> AgriLink must support multiple distinct user roles (Farmer, Aggregator, Buyer, Logistics) with vastly different traffic patterns. The Farmer app has periodic listing spikes, while the Buyer module experiences high-concurrency read/search loads. A monolithic architecture would require scaling the entire application together, causing resource inefficiency and high risk of single-point-of-failure outages.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Decision: </w:t>
      </w:r>
      <w:r>
        <w:rPr>
          <w:color w:val="212121"/>
          <w:sz w:val="18"/>
        </w:rPr>
        <w:t xml:space="preserve"> We adopt an API Gateway with Modular Layered Microservices Architecture (FastAPI backend microservices communicating through a reverse-proxy gateway with Supabase PostgreSQL and Redis caching).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Positive Consequences: </w:t>
      </w:r>
      <w:r>
        <w:rPr>
          <w:color w:val="212121"/>
          <w:sz w:val="18"/>
        </w:rPr>
        <w:t xml:space="preserve"> Enables independent scaling of high-throughput services (Search, ML Recommendations); provides fault isolation; allows independent CI/CD pipelines.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Negative Consequences: </w:t>
      </w:r>
      <w:r>
        <w:rPr>
          <w:color w:val="212121"/>
          <w:sz w:val="18"/>
        </w:rPr>
        <w:t xml:space="preserve"> Introduces minor network overhead between gateway and microservices; requires distributed tracing and observability tooling.</w:t>
      </w:r>
    </w:p>
    <w:p>
      <w:r>
        <w:rPr>
          <w:b/>
          <w:color w:val="2E7D32"/>
          <w:sz w:val="23"/>
        </w:rPr>
        <w:t>ADR 2: Hybrid Relational Database (Supabase PostgreSQL) with Event-Driven Outbox Pattern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Status: </w:t>
      </w:r>
      <w:r>
        <w:rPr>
          <w:color w:val="212121"/>
          <w:sz w:val="18"/>
        </w:rPr>
        <w:t xml:space="preserve"> ACCEPTED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Context: </w:t>
      </w:r>
      <w:r>
        <w:rPr>
          <w:color w:val="212121"/>
          <w:sz w:val="18"/>
        </w:rPr>
        <w:t xml:space="preserve"> Pure microservices often mandate a strict database-per-service approach, which creates extreme complexity for cross-entity ACID transactions (e.g., reserving inventory, calculating fair 68-10-14-8 splits, and placing an order simultaneously).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Decision: </w:t>
      </w:r>
      <w:r>
        <w:rPr>
          <w:color w:val="212121"/>
          <w:sz w:val="18"/>
        </w:rPr>
        <w:t xml:space="preserve"> We adopt a Unified Relational PostgreSQL Core with Row-Level Security (RLS) paired with an Event-Driven Transactional Outbox Pattern. Each microservice owns its domain schema partition while benefiting from PostgreSQL ACID guarantees for multi-table financial settlements.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Positive Consequences: </w:t>
      </w:r>
      <w:r>
        <w:rPr>
          <w:color w:val="212121"/>
          <w:sz w:val="18"/>
        </w:rPr>
        <w:t xml:space="preserve"> Eliminates two-phase commit (2PC) distributed transaction bugs; guarantees RPO = 0 for financial ledgers; native WebSocket subscriptions provide instant UI updates.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Negative Consequences: </w:t>
      </w:r>
      <w:r>
        <w:rPr>
          <w:color w:val="212121"/>
          <w:sz w:val="18"/>
        </w:rPr>
        <w:t xml:space="preserve"> Requires disciplined schema isolation policies to prevent tight coupling across database tables.</w:t>
      </w:r>
    </w:p>
    <w:p>
      <w:r>
        <w:rPr>
          <w:b/>
          <w:color w:val="2E7D32"/>
          <w:sz w:val="23"/>
        </w:rPr>
        <w:t>ADR 3: Dual-Layered Trust: Layer-2 Blockchain (Polygon) for Tamper-Proof Pricing &amp; Smart Escrow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Status: </w:t>
      </w:r>
      <w:r>
        <w:rPr>
          <w:color w:val="212121"/>
          <w:sz w:val="18"/>
        </w:rPr>
        <w:t xml:space="preserve"> ACCEPTED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Context: </w:t>
      </w:r>
      <w:r>
        <w:rPr>
          <w:color w:val="212121"/>
          <w:sz w:val="18"/>
        </w:rPr>
        <w:t xml:space="preserve"> In traditional mandis, commission agents routinely alter agreed farm-gate prices post-auction or delay payments by 45–60 days. Farmers require an incorruptible trust mechanism that guarantees the 68% payout cannot be retroactively modified by middlemen or platform administrators.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Decision: </w:t>
      </w:r>
      <w:r>
        <w:rPr>
          <w:color w:val="212121"/>
          <w:sz w:val="18"/>
        </w:rPr>
        <w:t xml:space="preserve"> We integrate a Polygon Layer-2 Blockchain Smart Contract Layer to anchor APMC modal price benchmarks, batch quality hashes, and execute automated non-custodial payment escrow upon customer OTP delivery verification.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Positive Consequences: </w:t>
      </w:r>
      <w:r>
        <w:rPr>
          <w:color w:val="212121"/>
          <w:sz w:val="18"/>
        </w:rPr>
        <w:t xml:space="preserve"> Delivers cryptographic immutability and non-repudiation; enables consumers to verify complete farm origin via QR code; guarantees automated, zero-default farmer payouts.</w:t>
      </w:r>
    </w:p>
    <w:p>
      <w:pPr>
        <w:pStyle w:val="ListBullet"/>
        <w:spacing w:line="276" w:lineRule="auto"/>
      </w:pPr>
      <w:r>
        <w:rPr>
          <w:b/>
          <w:color w:val="212121"/>
          <w:sz w:val="18"/>
        </w:rPr>
        <w:t xml:space="preserve">• Negative Consequences: </w:t>
      </w:r>
      <w:r>
        <w:rPr>
          <w:color w:val="212121"/>
          <w:sz w:val="18"/>
        </w:rPr>
        <w:t xml:space="preserve"> Introduces smart contract gas costs (mitigated by Polygon L2 sub-cent fees &lt; $0.001/tx) and requires managing Web3 RPC connectivity.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