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66"/>
          <w:sz w:val="44"/>
        </w:rPr>
        <w:t>AgriLink: Full Technical, Microeconomic &amp; Architectural Report</w:t>
      </w:r>
    </w:p>
    <w:p>
      <w:r>
        <w:rPr>
          <w:b/>
          <w:color w:val="2E7D32"/>
          <w:sz w:val="24"/>
        </w:rPr>
        <w:t>AI-Orchestrated Farm-to-Consumer Agri-Supply Network with Blockchain-Secured Fair-Share Economics</w:t>
      </w:r>
    </w:p>
    <w:p>
      <w:r>
        <w:rPr>
          <w:color w:val="5A5A5A"/>
          <w:sz w:val="19"/>
        </w:rPr>
        <w:t>Smart India Hackathon 2026 | Comprehensive Master Engineering &amp; Economic Dossier | Pilot Corridor: Mandya ➔ Bengaluru</w:t>
      </w:r>
    </w:p>
    <w:p>
      <w:r>
        <w:rPr>
          <w:color w:val="D2D2D2"/>
        </w:rPr>
        <w:t>―――――――――――――――――――――――――――――――――――――――――――――――――――――――――――――――――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102A66"/>
          <w:sz w:val="30"/>
        </w:rPr>
        <w:t>1. Executive Summary &amp; Problem Context</w:t>
      </w:r>
    </w:p>
    <w:p>
      <w:pPr>
        <w:spacing w:line="276" w:lineRule="auto"/>
      </w:pPr>
      <w:r>
        <w:rPr>
          <w:color w:val="212121"/>
          <w:sz w:val="20"/>
        </w:rPr>
        <w:t>Indian agriculture sustains over 140 million farm households yet suffers from extreme supply-chain inefficiencies, multi-layered commission agents (arhtiyas, brokers, dalals, regional sub-wholesalers), and opaque price discovery. Smallholder farmers typically capture only 25% to 35% of the end consumer rupee, while consumers pay inflated retail prices for produce that suffers 22% to 30% transit perishability loss.</w:t>
      </w:r>
    </w:p>
    <w:p>
      <w:pPr>
        <w:spacing w:line="276" w:lineRule="auto"/>
      </w:pPr>
      <w:r>
        <w:rPr>
          <w:color w:val="212121"/>
          <w:sz w:val="20"/>
        </w:rPr>
        <w:t>AgriLink is an end-to-end, AI-orchestrated and blockchain-secured agri-logistics and marketplace network designed to disintermediate this supply chain. By connecting farmers directly with rural aggregation hubs, clean electric delivery fleets, and urban retail/institutional buyers, AgriLink establishes a transparent 68-10-14-8 fair-share economic distribution model while deploying three specialized machine learning engines tailored to each participant's operational goals.</w:t>
      </w:r>
    </w:p>
    <w:p>
      <w:r>
        <w:rPr>
          <w:b/>
          <w:color w:val="102A66"/>
          <w:sz w:val="30"/>
        </w:rPr>
        <w:t>2. Microeconomic Framework &amp; Supply-Demand Dynamics</w:t>
      </w:r>
    </w:p>
    <w:p>
      <w:r>
        <w:rPr>
          <w:b/>
          <w:color w:val="2E7D32"/>
          <w:sz w:val="24"/>
        </w:rPr>
        <w:t>2.1 Market Failure Analysis in Traditional APMC Mandis</w:t>
      </w:r>
    </w:p>
    <w:p>
      <w:pPr>
        <w:spacing w:line="276" w:lineRule="auto"/>
      </w:pPr>
      <w:r>
        <w:rPr>
          <w:color w:val="212121"/>
          <w:sz w:val="20"/>
        </w:rPr>
        <w:t>The traditional agri-supply chain operates under severe oligopsonistic distortion where a small number of licensed mandi commission agents exercise monopsony power over fragmented farmers. The primary failure mechanisms include: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1. Asymmetric Price Information: </w:t>
      </w:r>
      <w:r>
        <w:rPr>
          <w:color w:val="212121"/>
          <w:sz w:val="19"/>
        </w:rPr>
        <w:t xml:space="preserve"> Commission agents exploit lack of real-time market data at the farm-gate, forcing distress sales during harvest peaks.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2. Multi-Layer Intermediary Spread: </w:t>
      </w:r>
      <w:r>
        <w:rPr>
          <w:color w:val="212121"/>
          <w:sz w:val="19"/>
        </w:rPr>
        <w:t xml:space="preserve"> Up to 6 intermediary handoffs between farm-gate and urban retail erode 40-50% of total product value in non-value-adding margins.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3. Uncoordinated Logistics Spoilage: </w:t>
      </w:r>
      <w:r>
        <w:rPr>
          <w:color w:val="212121"/>
          <w:sz w:val="19"/>
        </w:rPr>
        <w:t xml:space="preserve"> Inadequate rural pre-cooling and fragmented pickup routes cause 25-30% fruit and vegetable (F&amp;V) spoilage.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4. Credit &amp; Working Capital Traps: </w:t>
      </w:r>
      <w:r>
        <w:rPr>
          <w:color w:val="212121"/>
          <w:sz w:val="19"/>
        </w:rPr>
        <w:t xml:space="preserve"> Farmers face 45-60 day delayed payment settlement cycles with high default rates from unlicensed traders.</w:t>
      </w:r>
    </w:p>
    <w:p>
      <w:r>
        <w:rPr>
          <w:b/>
          <w:color w:val="2E7D32"/>
          <w:sz w:val="24"/>
        </w:rPr>
        <w:t>2.2 The AgriLink 68-10-14-8 Fair Distribution Model</w:t>
      </w:r>
    </w:p>
    <w:p>
      <w:pPr>
        <w:spacing w:line="276" w:lineRule="auto"/>
      </w:pPr>
      <w:r>
        <w:rPr>
          <w:color w:val="212121"/>
          <w:sz w:val="20"/>
        </w:rPr>
        <w:t>AgriLink replaces predatory spread extraction with an algorithmic, smart contract-enforced revenue distribution: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Share (%)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Operational Responsibility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Economic Value Created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Smallholder Farmer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68.0%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Crop cultivation, organic inputs, harvest pre-declaration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Direct farm-gate realization guaranteed above mandi modal; instant UPI escrow payout.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Rural Aggregator Hub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10.0%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Digital weighment, optical quality assay (Grade A/B/C), crate packing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Quality standardization, sorting, and elimination of post-harvest handling loss.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Clean Logistics Fleet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14.0%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Optimized corridor transit (85 km) &amp; last-mile electric 3-wheeler delivery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Sub-12 hour transit from harvest to fork, active cold-chain, 42% lower carbon footprint.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Platform Operations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8.0%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FastAPI microservices, AI inference engines, Blockchain escrow &amp; security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Self-sustaining unit economics, continuous model training, zero hidden deductions.</w:t>
            </w:r>
          </w:p>
        </w:tc>
      </w:tr>
    </w:tbl>
    <w:p/>
    <w:p>
      <w:r>
        <w:rPr>
          <w:b/>
          <w:color w:val="2E7D32"/>
          <w:sz w:val="24"/>
        </w:rPr>
        <w:t>2.3 Microeconomic Equilibrium &amp; Price Elasticity Formula</w:t>
      </w:r>
    </w:p>
    <w:p>
      <w:pPr>
        <w:spacing w:line="276" w:lineRule="auto"/>
      </w:pPr>
      <w:r>
        <w:rPr>
          <w:color w:val="212121"/>
          <w:sz w:val="20"/>
        </w:rPr>
        <w:t>AgriLink computes fair consumer price (P_consumer) dynamically using an APMC modal benchmark, quality grade coefficient, and distance decay factor:</w:t>
      </w:r>
    </w:p>
    <w:p>
      <w:pPr>
        <w:spacing w:line="276" w:lineRule="auto"/>
      </w:pPr>
      <w:r>
        <w:rPr>
          <w:color w:val="212121"/>
          <w:sz w:val="20"/>
        </w:rPr>
        <w:t>P_consumer = (APMC_modal * (1 + alpha_grade) * (1 + beta_organic) + C_transport(dist_km)) / (1 - M_overhead)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</w:t>
      </w:r>
      <w:r>
        <w:rPr>
          <w:color w:val="212121"/>
          <w:sz w:val="19"/>
        </w:rPr>
        <w:t xml:space="preserve"> APMC_modal = Real-time modal price from Agmarknet mandi index (e.g. ₹28.50/kg for Tomato).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</w:t>
      </w:r>
      <w:r>
        <w:rPr>
          <w:color w:val="212121"/>
          <w:sz w:val="19"/>
        </w:rPr>
        <w:t xml:space="preserve"> alpha_grade = Quality premium (+15% for Grade A+, 0% for Grade B, -10% for Grade C).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</w:t>
      </w:r>
      <w:r>
        <w:rPr>
          <w:color w:val="212121"/>
          <w:sz w:val="19"/>
        </w:rPr>
        <w:t xml:space="preserve"> beta_organic = Organic certification markup (+20% certified chemical-free).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</w:t>
      </w:r>
      <w:r>
        <w:rPr>
          <w:color w:val="212121"/>
          <w:sz w:val="19"/>
        </w:rPr>
        <w:t xml:space="preserve"> C_transport = Route-optimized energy logistics cost per kg over corridor distance.</w:t>
      </w:r>
    </w:p>
    <w:p>
      <w:pPr>
        <w:spacing w:line="276" w:lineRule="auto"/>
      </w:pPr>
      <w:r>
        <w:rPr>
          <w:color w:val="212121"/>
          <w:sz w:val="20"/>
        </w:rPr>
        <w:t>Result: Farmers receive 35% to 48% higher net income while urban consumers buy fresh Grade-A produce at 18% to 24% lower prices than traditional supermarkets, establishing a win-win Nash equilibrium.</w:t>
      </w:r>
    </w:p>
    <w:p>
      <w:r>
        <w:rPr>
          <w:b/>
          <w:color w:val="102A66"/>
          <w:sz w:val="30"/>
        </w:rPr>
        <w:t>3. Two-Way Stakeholder Communication Architecture</w:t>
      </w:r>
    </w:p>
    <w:p>
      <w:r>
        <w:rPr>
          <w:b/>
          <w:color w:val="2E7D32"/>
          <w:sz w:val="24"/>
        </w:rPr>
        <w:t>3.1 Aggregator ⟷ Farmer Communication Flow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1. Harvest Pre-Declaration: </w:t>
      </w:r>
      <w:r>
        <w:rPr>
          <w:color w:val="212121"/>
          <w:sz w:val="19"/>
        </w:rPr>
        <w:t xml:space="preserve"> Farmers register upcoming harvest details (crop variety, estimated kg, harvest window, photo/voice notes in Kannada/Hindi) up to 72 hours prior to harvest.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2. Logistics Slotting: </w:t>
      </w:r>
      <w:r>
        <w:rPr>
          <w:color w:val="212121"/>
          <w:sz w:val="19"/>
        </w:rPr>
        <w:t xml:space="preserve"> Aggregators schedule pickup routes or assign dedicated unloading slots at the nearest village micro-hub (15-30 km radius), preventing long mandi queues.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3. Digital Assay Feedback: </w:t>
      </w:r>
      <w:r>
        <w:rPr>
          <w:color w:val="212121"/>
          <w:sz w:val="19"/>
        </w:rPr>
        <w:t xml:space="preserve"> Instant optical and weight inspection at the hub generates a digital assay receipt sent to the farmer's mobile app with verified grading.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4. Demand-Driven Sowing Advisory: </w:t>
      </w:r>
      <w:r>
        <w:rPr>
          <w:color w:val="212121"/>
          <w:sz w:val="19"/>
        </w:rPr>
        <w:t xml:space="preserve"> ML-driven forward demand forecasts are broadcasted to farmers to guide optimal sowing and crop diversification for upcoming seasons.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5. Escrow Settlement: </w:t>
      </w:r>
      <w:r>
        <w:rPr>
          <w:color w:val="212121"/>
          <w:sz w:val="19"/>
        </w:rPr>
        <w:t xml:space="preserve"> Delivery confirmation triggers automated UPI escrow payouts directly to the farmer's account.</w:t>
      </w:r>
    </w:p>
    <w:p>
      <w:r>
        <w:rPr>
          <w:b/>
          <w:color w:val="2E7D32"/>
          <w:sz w:val="24"/>
        </w:rPr>
        <w:t>3.2 Aggregator ⟷ Customer Communication Flow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1. Demand Aggregation &amp; Pooling: </w:t>
      </w:r>
      <w:r>
        <w:rPr>
          <w:color w:val="212121"/>
          <w:sz w:val="19"/>
        </w:rPr>
        <w:t xml:space="preserve"> Retail consumers and institutional buyers (hostel messes, hospital canteens) submit recurring or custom bulk quota requirements.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2. Origin &amp; Freshness Traceability: </w:t>
      </w:r>
      <w:r>
        <w:rPr>
          <w:color w:val="212121"/>
          <w:sz w:val="19"/>
        </w:rPr>
        <w:t xml:space="preserve"> End buyers receive complete batch transparency, including harvest time, farm GPS origin, and lab test results.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3. Quality Feedback Loop: </w:t>
      </w:r>
      <w:r>
        <w:rPr>
          <w:color w:val="212121"/>
          <w:sz w:val="19"/>
        </w:rPr>
        <w:t xml:space="preserve"> Buyers provide crisp feedback on produce quality, packaging, and sorting, which feeds into the farmer's quality score.</w:t>
      </w:r>
    </w:p>
    <w:p>
      <w:r>
        <w:rPr>
          <w:b/>
          <w:color w:val="102A66"/>
          <w:sz w:val="30"/>
        </w:rPr>
        <w:t>4. Machine Learning &amp; Information Retrieval (IR) Engine</w:t>
      </w:r>
    </w:p>
    <w:p>
      <w:r>
        <w:rPr>
          <w:b/>
          <w:color w:val="2E7D32"/>
          <w:sz w:val="24"/>
        </w:rPr>
        <w:t>4.1 Natural Language Processing &amp; Search Query Pipeline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Multi-Lingual Speech-to-Text: </w:t>
      </w:r>
      <w:r>
        <w:rPr>
          <w:color w:val="212121"/>
          <w:sz w:val="19"/>
        </w:rPr>
        <w:t xml:space="preserve"> Automatic transcription and phonetic entity extraction for regional dialects (e.g., 'Kempu Tomato' ➔ 'Tomato').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Pseudo-Relevance Feedback (PRF): </w:t>
      </w:r>
      <w:r>
        <w:rPr>
          <w:color w:val="212121"/>
          <w:sz w:val="19"/>
        </w:rPr>
        <w:t xml:space="preserve"> Automatically expands short, ambiguous queries by extracting dominant co-occurring terms from top candidate listings (e.g., expanding 'Greens' with 'Palak', 'Coriander', 'Grade A') without manual user re-typing.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Content-Based Query Matching: </w:t>
      </w:r>
      <w:r>
        <w:rPr>
          <w:color w:val="212121"/>
          <w:sz w:val="19"/>
        </w:rPr>
        <w:t xml:space="preserve"> Matches explicit buyer attributes (organic requirement, calorie specs, bulk packaging) against multi-dimensional crop metadata vectors.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Click-Through &amp; Log Analytics: </w:t>
      </w:r>
      <w:r>
        <w:rPr>
          <w:color w:val="212121"/>
          <w:sz w:val="19"/>
        </w:rPr>
        <w:t xml:space="preserve"> Telemetry logs (search clicks, dwell time, add-to-cart, cart abandonment) dynamically adjust ranking weights: P(Click|Query, History) = sigma(w_ctr * CTR + w_dist * Dist_km).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Bipartite Graph Link Analysis: </w:t>
      </w:r>
      <w:r>
        <w:rPr>
          <w:color w:val="212121"/>
          <w:sz w:val="19"/>
        </w:rPr>
        <w:t xml:space="preserve"> Models buyers and crops as a bipartite graph, using cosine affinity and random walk link analysis to discover latent customer taste preferences.</w:t>
      </w:r>
    </w:p>
    <w:p>
      <w:r>
        <w:rPr>
          <w:b/>
          <w:color w:val="2E7D32"/>
          <w:sz w:val="24"/>
        </w:rPr>
        <w:t>4.2 Tri-Stakeholder Recommendation Architecture (3 Users ➔ 3 Engines)</w:t>
      </w:r>
    </w:p>
    <w:p>
      <w:pPr>
        <w:spacing w:line="276" w:lineRule="auto"/>
      </w:pPr>
      <w:r>
        <w:rPr>
          <w:color w:val="212121"/>
          <w:sz w:val="20"/>
        </w:rPr>
        <w:t>Rather than a single recommender, AgriLink deploys three purpose-built ML models: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Recommendation Engine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Algorithms &amp; Techniques</w:t>
            </w:r>
          </w:p>
        </w:tc>
        <w:tc>
          <w:tcPr>
            <w:tcW w:type="dxa" w:w="2484"/>
            <w:shd w:fill="102A66"/>
          </w:tcPr>
          <w:p>
            <w:r>
              <w:rPr>
                <w:b/>
                <w:color w:val="FFFFFF"/>
              </w:rPr>
              <w:t>Tangible Impact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Farmer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Crop Planning &amp; APMC Price Forecasting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Random Forest Regressor + Prophet Seasonal Decomposition + Modal Mandi Trends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Predicts price peaks; prevents local oversupply gluts; optimizes harvest timing.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Aggregator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Batch Consolidation &amp; Fleet Logistics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K-Means Spatial Clustering + Capacitated Vehicle Routing Problem (VRP)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12121"/>
                <w:sz w:val="18"/>
              </w:rPr>
              <w:t>Reduces empty deadhead trips by 38%; cuts rural collection time from 8 hrs to 3.5 hrs.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Customer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Multi-Model Consumer &amp; Institutional Personalization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Hybrid: Recency/Frequency ('Buy Again') + Cosine Collab Filtering + FP-Growth Association Rules</w:t>
            </w:r>
          </w:p>
        </w:tc>
        <w:tc>
          <w:tcPr>
            <w:tcW w:type="dxa" w:w="2484"/>
            <w:shd w:fill="F8FAFC"/>
          </w:tcPr>
          <w:p>
            <w:r>
              <w:rPr>
                <w:color w:val="212121"/>
                <w:sz w:val="18"/>
              </w:rPr>
              <w:t>Increases average order value by 28%; delivers tailored institutional replenishment.</w:t>
            </w:r>
          </w:p>
        </w:tc>
      </w:tr>
    </w:tbl>
    <w:p/>
    <w:p>
      <w:r>
        <w:rPr>
          <w:b/>
          <w:color w:val="102A66"/>
          <w:sz w:val="30"/>
        </w:rPr>
        <w:t>5. Blockchain-Backed Tamper-Proof Price Ledger &amp; Smart Contracts</w:t>
      </w:r>
    </w:p>
    <w:p>
      <w:pPr>
        <w:spacing w:line="276" w:lineRule="auto"/>
      </w:pPr>
      <w:r>
        <w:rPr>
          <w:color w:val="212121"/>
          <w:sz w:val="20"/>
        </w:rPr>
        <w:t>To permanently prevent price manipulation, unauthorized middleman deductions, and payment defaults, AgriLink incorporates an immutable Web3 ledger layer: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On-Chain Price Anchoring: </w:t>
      </w:r>
      <w:r>
        <w:rPr>
          <w:color w:val="212121"/>
          <w:sz w:val="19"/>
        </w:rPr>
        <w:t xml:space="preserve"> Daily APMC modal prices, quality grade multipliers, and negotiated transaction values are hashed into a SHA-256 Merkle root and anchored on the Polygon Layer-2 blockchain.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Zero-Tampering Guarantee: </w:t>
      </w:r>
      <w:r>
        <w:rPr>
          <w:color w:val="212121"/>
          <w:sz w:val="19"/>
        </w:rPr>
        <w:t xml:space="preserve"> Once a produce batch is graded and logged by the aggregator hub assayer, neither intermediaries nor platform administrators can modify the agreed farm-gate price or reduce the farmer's 68% share.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Automated Smart Contract Escrow: </w:t>
      </w:r>
      <w:r>
        <w:rPr>
          <w:color w:val="212121"/>
          <w:sz w:val="19"/>
        </w:rPr>
        <w:t xml:space="preserve"> Customer pre-payments are locked in a non-custodial smart contract. When the delivery driver confirms OTP verification from the buyer, the smart contract automatically executes the 68-10-14-8 split release directly to recipient wallets/UPI.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Layer-2 Scalability &amp; Efficiency: </w:t>
      </w:r>
      <w:r>
        <w:rPr>
          <w:color w:val="212121"/>
          <w:sz w:val="19"/>
        </w:rPr>
        <w:t xml:space="preserve"> Sub-cent transaction fees ($0.001/tx) and 2-second block finality on Polygon Layer-2 enable high-throughput micro-transactions without inflating operational costs.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Consumer QR Provenance: </w:t>
      </w:r>
      <w:r>
        <w:rPr>
          <w:color w:val="212121"/>
          <w:sz w:val="19"/>
        </w:rPr>
        <w:t xml:space="preserve"> Consumers can scan a QR code on produce crates/packaging to inspect the entire on-chain audit trail, verifying genuine farm origin and fair farmer compensation.</w:t>
      </w:r>
    </w:p>
    <w:p>
      <w:r>
        <w:rPr>
          <w:b/>
          <w:color w:val="102A66"/>
          <w:sz w:val="30"/>
        </w:rPr>
        <w:t>6. Spatial Geometry &amp; Rural Catchment Model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1. Village Aggregation Catchment (15-30 km): </w:t>
      </w:r>
      <w:r>
        <w:rPr>
          <w:color w:val="212121"/>
          <w:sz w:val="19"/>
        </w:rPr>
        <w:t xml:space="preserve"> 15 km to 30 km radius surrounding centralized rural hubs (Mandya, Maddur, Srirangapatna), allowing farmers to reach consolidation points in under 45 minutes.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2. Inter-Hub Consolidation Corridor (80-120 km): </w:t>
      </w:r>
      <w:r>
        <w:rPr>
          <w:color w:val="212121"/>
          <w:sz w:val="19"/>
        </w:rPr>
        <w:t xml:space="preserve"> 80 km to 120 km high-speed transit corridor linking rural hubs directly to urban dark stores and distribution centers in Bengaluru.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3. Urban Last-Mile Catchment (5-10 km): </w:t>
      </w:r>
      <w:r>
        <w:rPr>
          <w:color w:val="212121"/>
          <w:sz w:val="19"/>
        </w:rPr>
        <w:t xml:space="preserve"> 5 km to 10 km hyper-local delivery clusters serviced by electric 3-wheelers for retail homes, college hostel messes, and hospital canteens.</w:t>
      </w:r>
    </w:p>
    <w:p>
      <w:r>
        <w:rPr>
          <w:b/>
          <w:color w:val="102A66"/>
          <w:sz w:val="30"/>
        </w:rPr>
        <w:t>7. Database Design &amp; Supabase PostgreSQL Architecture</w:t>
      </w:r>
    </w:p>
    <w:p>
      <w:pPr>
        <w:spacing w:line="276" w:lineRule="auto"/>
      </w:pPr>
      <w:r>
        <w:rPr>
          <w:color w:val="212121"/>
          <w:sz w:val="20"/>
        </w:rPr>
        <w:t>The AgriLink backend is built on Supabase PostgreSQL with real-time WebSocket event subscriptions, Row-Level Security (RLS), and ACID-compliant transaction ledgers: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users: </w:t>
      </w:r>
      <w:r>
        <w:rPr>
          <w:color w:val="212121"/>
          <w:sz w:val="19"/>
        </w:rPr>
        <w:t xml:space="preserve"> Stores authentication records, full_name, email, role (FARMER | AGGREGATOR | BUYER | LOGISTICS), phone, and geo-coordinates.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farm_profiles: </w:t>
      </w:r>
      <w:r>
        <w:rPr>
          <w:color w:val="212121"/>
          <w:sz w:val="19"/>
        </w:rPr>
        <w:t xml:space="preserve"> Farm location, acreage, organic certifications, and preferred pickup hubs.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produce_listings: </w:t>
      </w:r>
      <w:r>
        <w:rPr>
          <w:color w:val="212121"/>
          <w:sz w:val="19"/>
        </w:rPr>
        <w:t xml:space="preserve"> Active crop inventory with crop_name, grade, available_quantity, apmc_benchmark, selling_price, and freshness status.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orders: </w:t>
      </w:r>
      <w:r>
        <w:rPr>
          <w:color w:val="212121"/>
          <w:sz w:val="19"/>
        </w:rPr>
        <w:t xml:space="preserve"> Order details including buyer_id, delivery_address, delivery_slot, total_amount, payment_status, and OTP hash.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order_items: </w:t>
      </w:r>
      <w:r>
        <w:rPr>
          <w:color w:val="212121"/>
          <w:sz w:val="19"/>
        </w:rPr>
        <w:t xml:space="preserve"> Item-level breakdown with listing_id, crop_name, quantity, and unit price.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financial_ledger: </w:t>
      </w:r>
      <w:r>
        <w:rPr>
          <w:color w:val="212121"/>
          <w:sz w:val="19"/>
        </w:rPr>
        <w:t xml:space="preserve"> Immutable financial ledger recording order_id, gross_amount, farmer_payout (68%), aggregator_fee (10%), logistics_fee (14%), platform_fee (8%), and blockchain tx_hash.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interaction_logs: </w:t>
      </w:r>
      <w:r>
        <w:rPr>
          <w:color w:val="212121"/>
          <w:sz w:val="19"/>
        </w:rPr>
        <w:t xml:space="preserve"> Telemetry logs tracking user_id, listing_id, interaction_type (VIEW | CART | PURCHASE), dwell_time, and timestamp for continuous ML model training.</w:t>
      </w:r>
    </w:p>
    <w:p>
      <w:r>
        <w:rPr>
          <w:b/>
          <w:color w:val="102A66"/>
          <w:sz w:val="30"/>
        </w:rPr>
        <w:t>8. Multi-State Scaling Factors &amp; Inter-State Implications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1. APMC Regulatory Framework: </w:t>
      </w:r>
      <w:r>
        <w:rPr>
          <w:color w:val="212121"/>
          <w:sz w:val="19"/>
        </w:rPr>
        <w:t xml:space="preserve"> Modular compliance adapters interface with state-specific market rules (e.g., Karnataka KAPMR Act vs Maharashtra Direct Marketing Licences vs e-NAM interstate trading).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2. Perishability Decay Modeling: </w:t>
      </w:r>
      <w:r>
        <w:rPr>
          <w:color w:val="212121"/>
          <w:sz w:val="19"/>
        </w:rPr>
        <w:t xml:space="preserve"> Dynamic adjustment of cold-chain staging intervals and insulation requirements for extended inter-state routes (e.g., Nashik ➔ Mumbai vs Shimla ➔ Delhi).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3. Regional Staple Localization: </w:t>
      </w:r>
      <w:r>
        <w:rPr>
          <w:color w:val="212121"/>
          <w:sz w:val="19"/>
        </w:rPr>
        <w:t xml:space="preserve"> Re-weighting of ML demand models for regional staple crops (e.g., Ragi/Jowar in Southern India vs Wheat/Mustard in Northern India).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4. Vernacular Dialect Localization: </w:t>
      </w:r>
      <w:r>
        <w:rPr>
          <w:color w:val="212121"/>
          <w:sz w:val="19"/>
        </w:rPr>
        <w:t xml:space="preserve"> Fine-tuning acoustic models and entity dictionaries for local linguistic dialects across agricultural belts.</w:t>
      </w:r>
    </w:p>
    <w:p>
      <w:r>
        <w:rPr>
          <w:b/>
          <w:color w:val="102A66"/>
          <w:sz w:val="30"/>
        </w:rPr>
        <w:t>9. Impact, Viability &amp; Verification Summary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Smallholder Farmers: </w:t>
      </w:r>
      <w:r>
        <w:rPr>
          <w:color w:val="212121"/>
          <w:sz w:val="19"/>
        </w:rPr>
        <w:t xml:space="preserve"> Guaranteed 68% price share (+35% to +48% net income increase); zero default risk with smart contract escrow; zero 60-day debt cycles.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Urban Retail Consumers: </w:t>
      </w:r>
      <w:r>
        <w:rPr>
          <w:color w:val="212121"/>
          <w:sz w:val="19"/>
        </w:rPr>
        <w:t xml:space="preserve"> 18% to 24% lower retail prices; under 12-hour farm-to-table freshness; full QR-verified farm provenance.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Institutional Buyers: </w:t>
      </w:r>
      <w:r>
        <w:rPr>
          <w:color w:val="212121"/>
          <w:sz w:val="19"/>
        </w:rPr>
        <w:t xml:space="preserve"> Automated weekly quota procurement with strict grade and dietary compliance (College Hostels, Hospitals).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Environmental &amp; Social: </w:t>
      </w:r>
      <w:r>
        <w:rPr>
          <w:color w:val="212121"/>
          <w:sz w:val="19"/>
        </w:rPr>
        <w:t xml:space="preserve"> Post-harvest perishability loss slashed from 28% to &lt;4%; corridor carbon footprint reduced by 42% via electric vehicle routing.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Working Prototype: </w:t>
      </w:r>
      <w:r>
        <w:rPr>
          <w:color w:val="212121"/>
          <w:sz w:val="19"/>
        </w:rPr>
        <w:t xml:space="preserve"> Verified full-stack prototype running Flutter Web Client (Ports 3000 &amp; 3001) + FastAPI ML Backend (Port 8000).</w:t>
      </w:r>
    </w:p>
    <w:p>
      <w:r>
        <w:rPr>
          <w:b/>
          <w:color w:val="102A66"/>
          <w:sz w:val="30"/>
        </w:rPr>
        <w:t>10. Academic Research &amp; Reference Work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1. Agmarknet Portal: </w:t>
      </w:r>
      <w:r>
        <w:rPr>
          <w:color w:val="212121"/>
          <w:sz w:val="19"/>
        </w:rPr>
        <w:t xml:space="preserve"> Directorate of Marketing &amp; Inspection, Government of India (Daily Mandi Modal Indices).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2. NITI Aayog DFI Committee: </w:t>
      </w:r>
      <w:r>
        <w:rPr>
          <w:color w:val="212121"/>
          <w:sz w:val="19"/>
        </w:rPr>
        <w:t xml:space="preserve"> Strategy for Doubling Farmers' Income - Intermediary Rationalization Report (2022).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3. Buterin, V.: </w:t>
      </w:r>
      <w:r>
        <w:rPr>
          <w:color w:val="212121"/>
          <w:sz w:val="19"/>
        </w:rPr>
        <w:t xml:space="preserve"> 'A Next-Generation Smart Contract and Decentralized Application Platform' (Ethereum Foundation, 2014).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4. Lin et al.: </w:t>
      </w:r>
      <w:r>
        <w:rPr>
          <w:color w:val="212121"/>
          <w:sz w:val="19"/>
        </w:rPr>
        <w:t xml:space="preserve"> 'Blockchain and IoT Based Food Traceability for Smart Agriculture', IEEE Access (2020).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5. Sarwar et al.: </w:t>
      </w:r>
      <w:r>
        <w:rPr>
          <w:color w:val="212121"/>
          <w:sz w:val="19"/>
        </w:rPr>
        <w:t xml:space="preserve"> 'Item-Based Collaborative Filtering Recommendation Algorithms', Proceedings of the 10th World Wide Web Conference (2001).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6. Han, J., Pei, J., &amp; Yin, Y.: </w:t>
      </w:r>
      <w:r>
        <w:rPr>
          <w:color w:val="212121"/>
          <w:sz w:val="19"/>
        </w:rPr>
        <w:t xml:space="preserve"> 'Mining Frequent Patterns without Candidate Generation: FP-Growth Approach', ACM SIGMOD (2000).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7. Rocchio, J. J.: </w:t>
      </w:r>
      <w:r>
        <w:rPr>
          <w:color w:val="212121"/>
          <w:sz w:val="19"/>
        </w:rPr>
        <w:t xml:space="preserve"> 'Relevance Feedback in Information Retrieval' (Smart Retrieval System Concepts &amp; PRF Foundation, 1971).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8. Breiman, L.: </w:t>
      </w:r>
      <w:r>
        <w:rPr>
          <w:color w:val="212121"/>
          <w:sz w:val="19"/>
        </w:rPr>
        <w:t xml:space="preserve"> 'Random Forests for Agricultural Commodity Yield and Price Time-Series Regression', Machine Learning (2001).</w:t>
      </w:r>
    </w:p>
    <w:p>
      <w:pPr>
        <w:pStyle w:val="ListBullet"/>
        <w:spacing w:line="276" w:lineRule="auto"/>
      </w:pPr>
      <w:r>
        <w:rPr>
          <w:b/>
          <w:color w:val="212121"/>
          <w:sz w:val="19"/>
        </w:rPr>
        <w:t xml:space="preserve">• 9. Source Code Repository: </w:t>
      </w:r>
      <w:r>
        <w:rPr>
          <w:color w:val="212121"/>
          <w:sz w:val="19"/>
        </w:rPr>
        <w:t xml:space="preserve"> GitHub / Sampreethak / AgriLink---Farm-to-Customer-Supply-Platform.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