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1269" w14:textId="7E90D2D6" w:rsidR="00F50563" w:rsidRPr="00E82F62" w:rsidRDefault="00555B0D" w:rsidP="00F50563">
      <w:pPr>
        <w:jc w:val="center"/>
        <w:rPr>
          <w:rFonts w:ascii="Times New Roman" w:hAnsi="Times New Roman" w:cs="Times New Roman"/>
          <w:b/>
          <w:bCs/>
          <w:noProof/>
          <w:sz w:val="24"/>
          <w:szCs w:val="24"/>
          <w:u w:val="single"/>
        </w:rPr>
      </w:pPr>
      <w:r w:rsidRPr="00E82F62">
        <w:rPr>
          <w:rFonts w:ascii="Times New Roman" w:hAnsi="Times New Roman" w:cs="Times New Roman"/>
          <w:b/>
          <w:bCs/>
          <w:noProof/>
          <w:sz w:val="24"/>
          <w:szCs w:val="24"/>
          <w:u w:val="single"/>
        </w:rPr>
        <w:t>GROUP MEMBERS</w:t>
      </w:r>
      <w:r w:rsidR="00DC4AE1" w:rsidRPr="00E82F62">
        <w:rPr>
          <w:rFonts w:ascii="Times New Roman" w:hAnsi="Times New Roman" w:cs="Times New Roman"/>
          <w:b/>
          <w:bCs/>
          <w:noProof/>
          <w:sz w:val="24"/>
          <w:szCs w:val="24"/>
          <w:u w:val="single"/>
        </w:rPr>
        <w:t xml:space="preserve"> (GROUP 15)</w:t>
      </w:r>
    </w:p>
    <w:p w14:paraId="48DC916E" w14:textId="7DB43001" w:rsidR="0071156C" w:rsidRPr="00E82F62" w:rsidRDefault="00064821" w:rsidP="00F50563">
      <w:pPr>
        <w:jc w:val="center"/>
        <w:rPr>
          <w:rFonts w:ascii="Times New Roman" w:hAnsi="Times New Roman" w:cs="Times New Roman"/>
          <w:noProof/>
          <w:sz w:val="24"/>
          <w:szCs w:val="24"/>
        </w:rPr>
      </w:pPr>
      <w:r w:rsidRPr="00E82F62">
        <w:rPr>
          <w:rFonts w:ascii="Times New Roman" w:hAnsi="Times New Roman" w:cs="Times New Roman"/>
          <w:noProof/>
          <w:sz w:val="24"/>
          <w:szCs w:val="24"/>
        </w:rPr>
        <w:t>Isha Mumbrawala</w:t>
      </w:r>
      <w:r w:rsidR="00332FF0" w:rsidRPr="00E82F62">
        <w:rPr>
          <w:rFonts w:ascii="Times New Roman" w:hAnsi="Times New Roman" w:cs="Times New Roman"/>
          <w:noProof/>
          <w:sz w:val="24"/>
          <w:szCs w:val="24"/>
        </w:rPr>
        <w:t xml:space="preserve"> – Liquidmetal Technologies</w:t>
      </w:r>
    </w:p>
    <w:p w14:paraId="59E404D6" w14:textId="4E72D1C3" w:rsidR="007930EF" w:rsidRPr="00E82F62" w:rsidRDefault="007930EF" w:rsidP="00F50563">
      <w:pPr>
        <w:jc w:val="center"/>
        <w:rPr>
          <w:rFonts w:ascii="Times New Roman" w:hAnsi="Times New Roman" w:cs="Times New Roman"/>
          <w:noProof/>
          <w:sz w:val="24"/>
          <w:szCs w:val="24"/>
        </w:rPr>
      </w:pPr>
      <w:r w:rsidRPr="00E82F62">
        <w:rPr>
          <w:rFonts w:ascii="Times New Roman" w:hAnsi="Times New Roman" w:cs="Times New Roman"/>
          <w:noProof/>
          <w:sz w:val="24"/>
          <w:szCs w:val="24"/>
        </w:rPr>
        <w:t>Sampreethi Bokka</w:t>
      </w:r>
      <w:r w:rsidR="00332FF0" w:rsidRPr="00E82F62">
        <w:rPr>
          <w:rFonts w:ascii="Times New Roman" w:hAnsi="Times New Roman" w:cs="Times New Roman"/>
          <w:noProof/>
          <w:sz w:val="24"/>
          <w:szCs w:val="24"/>
        </w:rPr>
        <w:t xml:space="preserve"> – Balchem Corporation</w:t>
      </w:r>
    </w:p>
    <w:p w14:paraId="364D9CD1" w14:textId="5404BF7E" w:rsidR="007930EF" w:rsidRPr="00E82F62" w:rsidRDefault="007930EF" w:rsidP="00F50563">
      <w:pPr>
        <w:jc w:val="center"/>
        <w:rPr>
          <w:rFonts w:ascii="Times New Roman" w:hAnsi="Times New Roman" w:cs="Times New Roman"/>
          <w:noProof/>
          <w:sz w:val="24"/>
          <w:szCs w:val="24"/>
        </w:rPr>
      </w:pPr>
      <w:r w:rsidRPr="00E82F62">
        <w:rPr>
          <w:rFonts w:ascii="Times New Roman" w:hAnsi="Times New Roman" w:cs="Times New Roman"/>
          <w:noProof/>
          <w:sz w:val="24"/>
          <w:szCs w:val="24"/>
        </w:rPr>
        <w:t>Jelin Gandhi</w:t>
      </w:r>
      <w:r w:rsidR="00332FF0" w:rsidRPr="00E82F62">
        <w:rPr>
          <w:rFonts w:ascii="Times New Roman" w:hAnsi="Times New Roman" w:cs="Times New Roman"/>
          <w:noProof/>
          <w:sz w:val="24"/>
          <w:szCs w:val="24"/>
        </w:rPr>
        <w:t xml:space="preserve"> – Chevron Philips Chemical Company</w:t>
      </w:r>
    </w:p>
    <w:p w14:paraId="69692D99" w14:textId="77777777" w:rsidR="00332FF0" w:rsidRPr="00E82F62" w:rsidRDefault="00332FF0" w:rsidP="0071156C">
      <w:pPr>
        <w:rPr>
          <w:rFonts w:ascii="Times New Roman" w:hAnsi="Times New Roman" w:cs="Times New Roman"/>
          <w:noProof/>
          <w:sz w:val="24"/>
          <w:szCs w:val="24"/>
        </w:rPr>
      </w:pPr>
    </w:p>
    <w:p w14:paraId="45AFA72C" w14:textId="124B5E89" w:rsidR="00332FF0" w:rsidRPr="00F50563" w:rsidRDefault="00332FF0" w:rsidP="00F90A11">
      <w:pPr>
        <w:jc w:val="center"/>
        <w:rPr>
          <w:rFonts w:ascii="Times New Roman" w:hAnsi="Times New Roman" w:cs="Times New Roman"/>
          <w:b/>
          <w:bCs/>
          <w:noProof/>
          <w:sz w:val="24"/>
          <w:szCs w:val="24"/>
        </w:rPr>
      </w:pPr>
      <w:r w:rsidRPr="00F50563">
        <w:rPr>
          <w:rFonts w:ascii="Times New Roman" w:hAnsi="Times New Roman" w:cs="Times New Roman"/>
          <w:b/>
          <w:bCs/>
          <w:noProof/>
          <w:sz w:val="24"/>
          <w:szCs w:val="24"/>
        </w:rPr>
        <w:t>TABLE OF CHARTS</w:t>
      </w:r>
    </w:p>
    <w:tbl>
      <w:tblPr>
        <w:tblStyle w:val="TableGrid"/>
        <w:tblW w:w="0" w:type="auto"/>
        <w:tblLook w:val="04A0" w:firstRow="1" w:lastRow="0" w:firstColumn="1" w:lastColumn="0" w:noHBand="0" w:noVBand="1"/>
      </w:tblPr>
      <w:tblGrid>
        <w:gridCol w:w="7792"/>
        <w:gridCol w:w="2664"/>
      </w:tblGrid>
      <w:tr w:rsidR="00E82F62" w14:paraId="6BE15713" w14:textId="77777777" w:rsidTr="00F50563">
        <w:tc>
          <w:tcPr>
            <w:tcW w:w="7792" w:type="dxa"/>
          </w:tcPr>
          <w:p w14:paraId="7CCA4DA8" w14:textId="727B25E9" w:rsidR="00E82F62" w:rsidRPr="00C45798" w:rsidRDefault="00C45798" w:rsidP="00F50563">
            <w:pPr>
              <w:jc w:val="center"/>
              <w:rPr>
                <w:rFonts w:ascii="Times New Roman" w:hAnsi="Times New Roman" w:cs="Times New Roman"/>
                <w:noProof/>
                <w:sz w:val="24"/>
                <w:szCs w:val="24"/>
              </w:rPr>
            </w:pPr>
            <w:r>
              <w:rPr>
                <w:rFonts w:ascii="Times New Roman" w:hAnsi="Times New Roman" w:cs="Times New Roman"/>
                <w:noProof/>
                <w:sz w:val="24"/>
                <w:szCs w:val="24"/>
              </w:rPr>
              <w:t>Particulars</w:t>
            </w:r>
          </w:p>
        </w:tc>
        <w:tc>
          <w:tcPr>
            <w:tcW w:w="2664" w:type="dxa"/>
          </w:tcPr>
          <w:p w14:paraId="781229FA" w14:textId="6B0A2F87" w:rsidR="00E82F62" w:rsidRPr="00C45798" w:rsidRDefault="00C45798" w:rsidP="00F50563">
            <w:pPr>
              <w:jc w:val="center"/>
              <w:rPr>
                <w:rFonts w:ascii="Times New Roman" w:hAnsi="Times New Roman" w:cs="Times New Roman"/>
                <w:noProof/>
                <w:sz w:val="24"/>
                <w:szCs w:val="24"/>
              </w:rPr>
            </w:pPr>
            <w:r>
              <w:rPr>
                <w:rFonts w:ascii="Times New Roman" w:hAnsi="Times New Roman" w:cs="Times New Roman"/>
                <w:noProof/>
                <w:sz w:val="24"/>
                <w:szCs w:val="24"/>
              </w:rPr>
              <w:t>Page Number</w:t>
            </w:r>
          </w:p>
        </w:tc>
      </w:tr>
      <w:tr w:rsidR="00E82F62" w14:paraId="37075419" w14:textId="77777777" w:rsidTr="00F50563">
        <w:tc>
          <w:tcPr>
            <w:tcW w:w="7792" w:type="dxa"/>
          </w:tcPr>
          <w:p w14:paraId="3ED66C76" w14:textId="0A246BEA"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Time Series Analysis</w:t>
            </w:r>
          </w:p>
        </w:tc>
        <w:tc>
          <w:tcPr>
            <w:tcW w:w="2664" w:type="dxa"/>
          </w:tcPr>
          <w:p w14:paraId="430BCEBF" w14:textId="7439339D" w:rsidR="00E82F62" w:rsidRPr="007D43EB" w:rsidRDefault="007D43EB" w:rsidP="00F50563">
            <w:pPr>
              <w:jc w:val="center"/>
              <w:rPr>
                <w:rFonts w:ascii="Times New Roman" w:hAnsi="Times New Roman" w:cs="Times New Roman"/>
                <w:noProof/>
                <w:sz w:val="24"/>
                <w:szCs w:val="24"/>
              </w:rPr>
            </w:pPr>
            <w:r>
              <w:rPr>
                <w:rFonts w:ascii="Times New Roman" w:hAnsi="Times New Roman" w:cs="Times New Roman"/>
                <w:noProof/>
                <w:sz w:val="24"/>
                <w:szCs w:val="24"/>
              </w:rPr>
              <w:t>2</w:t>
            </w:r>
          </w:p>
        </w:tc>
      </w:tr>
      <w:tr w:rsidR="00E82F62" w14:paraId="7A6574E9" w14:textId="77777777" w:rsidTr="00F50563">
        <w:tc>
          <w:tcPr>
            <w:tcW w:w="7792" w:type="dxa"/>
          </w:tcPr>
          <w:p w14:paraId="2F320D56" w14:textId="0FD4D033"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Cross-Sectional Analysis</w:t>
            </w:r>
          </w:p>
        </w:tc>
        <w:tc>
          <w:tcPr>
            <w:tcW w:w="2664" w:type="dxa"/>
          </w:tcPr>
          <w:p w14:paraId="2E36764F" w14:textId="7243F27E" w:rsidR="00E82F62" w:rsidRPr="007D43EB" w:rsidRDefault="007D43EB" w:rsidP="00F50563">
            <w:pPr>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E82F62" w14:paraId="1D4FAEF4" w14:textId="77777777" w:rsidTr="00F50563">
        <w:tc>
          <w:tcPr>
            <w:tcW w:w="7792" w:type="dxa"/>
          </w:tcPr>
          <w:p w14:paraId="21430209" w14:textId="49324AD9"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Discussion of Liquidity Risk for Chevron Philips Chemical Company</w:t>
            </w:r>
          </w:p>
        </w:tc>
        <w:tc>
          <w:tcPr>
            <w:tcW w:w="2664" w:type="dxa"/>
          </w:tcPr>
          <w:p w14:paraId="22B1E29F" w14:textId="375FF6EE" w:rsidR="00E82F62" w:rsidRPr="007D43EB" w:rsidRDefault="009D629A" w:rsidP="00F50563">
            <w:pPr>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E82F62" w14:paraId="3B875EE6" w14:textId="77777777" w:rsidTr="00F50563">
        <w:tc>
          <w:tcPr>
            <w:tcW w:w="7792" w:type="dxa"/>
          </w:tcPr>
          <w:p w14:paraId="14F77B2B" w14:textId="25847957"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Discussion of Liquidity Risk for Balchem Corporation</w:t>
            </w:r>
          </w:p>
        </w:tc>
        <w:tc>
          <w:tcPr>
            <w:tcW w:w="2664" w:type="dxa"/>
          </w:tcPr>
          <w:p w14:paraId="753CE0C2" w14:textId="5FD1FC77" w:rsidR="00E82F62" w:rsidRPr="007D43EB" w:rsidRDefault="00AE4E57" w:rsidP="00F50563">
            <w:pPr>
              <w:jc w:val="center"/>
              <w:rPr>
                <w:rFonts w:ascii="Times New Roman" w:hAnsi="Times New Roman" w:cs="Times New Roman"/>
                <w:noProof/>
                <w:sz w:val="24"/>
                <w:szCs w:val="24"/>
              </w:rPr>
            </w:pPr>
            <w:r>
              <w:rPr>
                <w:rFonts w:ascii="Times New Roman" w:hAnsi="Times New Roman" w:cs="Times New Roman"/>
                <w:noProof/>
                <w:sz w:val="24"/>
                <w:szCs w:val="24"/>
              </w:rPr>
              <w:t>6</w:t>
            </w:r>
          </w:p>
        </w:tc>
      </w:tr>
      <w:tr w:rsidR="00E82F62" w14:paraId="06681D5D" w14:textId="77777777" w:rsidTr="00F50563">
        <w:tc>
          <w:tcPr>
            <w:tcW w:w="7792" w:type="dxa"/>
          </w:tcPr>
          <w:p w14:paraId="53507119" w14:textId="0435DE39"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Discussion of Liquidity Risk for Liquidmetal Technologies</w:t>
            </w:r>
          </w:p>
        </w:tc>
        <w:tc>
          <w:tcPr>
            <w:tcW w:w="2664" w:type="dxa"/>
          </w:tcPr>
          <w:p w14:paraId="500FBA3A" w14:textId="77777777" w:rsidR="00E82F62" w:rsidRPr="007D43EB" w:rsidRDefault="00E82F62" w:rsidP="00F50563">
            <w:pPr>
              <w:jc w:val="center"/>
              <w:rPr>
                <w:rFonts w:ascii="Times New Roman" w:hAnsi="Times New Roman" w:cs="Times New Roman"/>
                <w:noProof/>
                <w:sz w:val="24"/>
                <w:szCs w:val="24"/>
              </w:rPr>
            </w:pPr>
          </w:p>
        </w:tc>
      </w:tr>
      <w:tr w:rsidR="00E82F62" w14:paraId="20A0B55F" w14:textId="77777777" w:rsidTr="00F50563">
        <w:tc>
          <w:tcPr>
            <w:tcW w:w="7792" w:type="dxa"/>
          </w:tcPr>
          <w:p w14:paraId="633B278A" w14:textId="13DA1C07" w:rsidR="00E82F62" w:rsidRPr="007D43EB" w:rsidRDefault="007D43EB" w:rsidP="00DC4AE1">
            <w:pPr>
              <w:rPr>
                <w:rFonts w:ascii="Times New Roman" w:hAnsi="Times New Roman" w:cs="Times New Roman"/>
                <w:noProof/>
                <w:sz w:val="24"/>
                <w:szCs w:val="24"/>
              </w:rPr>
            </w:pPr>
            <w:r>
              <w:rPr>
                <w:rFonts w:ascii="Times New Roman" w:hAnsi="Times New Roman" w:cs="Times New Roman"/>
                <w:noProof/>
                <w:sz w:val="24"/>
                <w:szCs w:val="24"/>
              </w:rPr>
              <w:t>Conclusion</w:t>
            </w:r>
          </w:p>
        </w:tc>
        <w:tc>
          <w:tcPr>
            <w:tcW w:w="2664" w:type="dxa"/>
          </w:tcPr>
          <w:p w14:paraId="6F68C028" w14:textId="017E474B" w:rsidR="00E82F62" w:rsidRPr="007D43EB" w:rsidRDefault="00AE4E57" w:rsidP="00F50563">
            <w:pPr>
              <w:jc w:val="center"/>
              <w:rPr>
                <w:rFonts w:ascii="Times New Roman" w:hAnsi="Times New Roman" w:cs="Times New Roman"/>
                <w:noProof/>
                <w:sz w:val="24"/>
                <w:szCs w:val="24"/>
              </w:rPr>
            </w:pPr>
            <w:r>
              <w:rPr>
                <w:rFonts w:ascii="Times New Roman" w:hAnsi="Times New Roman" w:cs="Times New Roman"/>
                <w:noProof/>
                <w:sz w:val="24"/>
                <w:szCs w:val="24"/>
              </w:rPr>
              <w:t>7</w:t>
            </w:r>
          </w:p>
        </w:tc>
      </w:tr>
    </w:tbl>
    <w:p w14:paraId="6E246A51" w14:textId="77777777" w:rsidR="00DC4AE1" w:rsidRPr="00E82F62" w:rsidRDefault="00DC4AE1" w:rsidP="00DC4AE1">
      <w:pPr>
        <w:rPr>
          <w:rFonts w:ascii="Times New Roman" w:hAnsi="Times New Roman" w:cs="Times New Roman"/>
          <w:b/>
          <w:bCs/>
          <w:noProof/>
          <w:sz w:val="24"/>
          <w:szCs w:val="24"/>
          <w:u w:val="single"/>
        </w:rPr>
      </w:pPr>
    </w:p>
    <w:p w14:paraId="4E8B7FEC" w14:textId="77777777" w:rsidR="00555B0D" w:rsidRPr="00E82F62" w:rsidRDefault="00555B0D" w:rsidP="00555B0D">
      <w:pPr>
        <w:rPr>
          <w:rFonts w:ascii="Times New Roman" w:hAnsi="Times New Roman" w:cs="Times New Roman"/>
          <w:b/>
          <w:bCs/>
          <w:noProof/>
          <w:sz w:val="24"/>
          <w:szCs w:val="24"/>
          <w:u w:val="single"/>
        </w:rPr>
      </w:pPr>
    </w:p>
    <w:p w14:paraId="429576D3" w14:textId="77777777" w:rsidR="00B820A5" w:rsidRPr="00E82F62" w:rsidRDefault="00B820A5" w:rsidP="00817216">
      <w:pPr>
        <w:jc w:val="center"/>
        <w:rPr>
          <w:rFonts w:ascii="Times New Roman" w:hAnsi="Times New Roman" w:cs="Times New Roman"/>
          <w:b/>
          <w:bCs/>
          <w:noProof/>
          <w:sz w:val="24"/>
          <w:szCs w:val="24"/>
          <w:u w:val="single"/>
        </w:rPr>
      </w:pPr>
    </w:p>
    <w:p w14:paraId="3C9D7C4F" w14:textId="77777777" w:rsidR="00B820A5" w:rsidRPr="00E82F62" w:rsidRDefault="00B820A5" w:rsidP="00817216">
      <w:pPr>
        <w:jc w:val="center"/>
        <w:rPr>
          <w:rFonts w:ascii="Times New Roman" w:hAnsi="Times New Roman" w:cs="Times New Roman"/>
          <w:b/>
          <w:bCs/>
          <w:noProof/>
          <w:sz w:val="24"/>
          <w:szCs w:val="24"/>
          <w:u w:val="single"/>
        </w:rPr>
      </w:pPr>
    </w:p>
    <w:p w14:paraId="7D82CAC4" w14:textId="77777777" w:rsidR="00B820A5" w:rsidRPr="00E82F62" w:rsidRDefault="00B820A5" w:rsidP="00817216">
      <w:pPr>
        <w:jc w:val="center"/>
        <w:rPr>
          <w:rFonts w:ascii="Times New Roman" w:hAnsi="Times New Roman" w:cs="Times New Roman"/>
          <w:b/>
          <w:bCs/>
          <w:noProof/>
          <w:sz w:val="24"/>
          <w:szCs w:val="24"/>
          <w:u w:val="single"/>
        </w:rPr>
      </w:pPr>
    </w:p>
    <w:p w14:paraId="152B4789" w14:textId="77777777" w:rsidR="00B820A5" w:rsidRPr="00E82F62" w:rsidRDefault="00B820A5" w:rsidP="00817216">
      <w:pPr>
        <w:jc w:val="center"/>
        <w:rPr>
          <w:rFonts w:ascii="Times New Roman" w:hAnsi="Times New Roman" w:cs="Times New Roman"/>
          <w:b/>
          <w:bCs/>
          <w:noProof/>
          <w:sz w:val="24"/>
          <w:szCs w:val="24"/>
          <w:u w:val="single"/>
        </w:rPr>
      </w:pPr>
    </w:p>
    <w:p w14:paraId="709E0D10" w14:textId="77777777" w:rsidR="00B820A5" w:rsidRPr="00E82F62" w:rsidRDefault="00B820A5" w:rsidP="00817216">
      <w:pPr>
        <w:jc w:val="center"/>
        <w:rPr>
          <w:rFonts w:ascii="Times New Roman" w:hAnsi="Times New Roman" w:cs="Times New Roman"/>
          <w:b/>
          <w:bCs/>
          <w:noProof/>
          <w:sz w:val="24"/>
          <w:szCs w:val="24"/>
          <w:u w:val="single"/>
        </w:rPr>
      </w:pPr>
    </w:p>
    <w:p w14:paraId="07FC084F" w14:textId="77777777" w:rsidR="00B820A5" w:rsidRPr="00E82F62" w:rsidRDefault="00B820A5" w:rsidP="00817216">
      <w:pPr>
        <w:jc w:val="center"/>
        <w:rPr>
          <w:rFonts w:ascii="Times New Roman" w:hAnsi="Times New Roman" w:cs="Times New Roman"/>
          <w:b/>
          <w:bCs/>
          <w:noProof/>
          <w:sz w:val="24"/>
          <w:szCs w:val="24"/>
          <w:u w:val="single"/>
        </w:rPr>
      </w:pPr>
    </w:p>
    <w:p w14:paraId="6729EFAC" w14:textId="77777777" w:rsidR="00B820A5" w:rsidRPr="00E82F62" w:rsidRDefault="00B820A5" w:rsidP="00817216">
      <w:pPr>
        <w:jc w:val="center"/>
        <w:rPr>
          <w:rFonts w:ascii="Times New Roman" w:hAnsi="Times New Roman" w:cs="Times New Roman"/>
          <w:b/>
          <w:bCs/>
          <w:noProof/>
          <w:sz w:val="24"/>
          <w:szCs w:val="24"/>
          <w:u w:val="single"/>
        </w:rPr>
      </w:pPr>
    </w:p>
    <w:p w14:paraId="7C8B6E70" w14:textId="77777777" w:rsidR="00B820A5" w:rsidRPr="00E82F62" w:rsidRDefault="00B820A5" w:rsidP="00817216">
      <w:pPr>
        <w:jc w:val="center"/>
        <w:rPr>
          <w:rFonts w:ascii="Times New Roman" w:hAnsi="Times New Roman" w:cs="Times New Roman"/>
          <w:b/>
          <w:bCs/>
          <w:noProof/>
          <w:sz w:val="24"/>
          <w:szCs w:val="24"/>
          <w:u w:val="single"/>
        </w:rPr>
      </w:pPr>
    </w:p>
    <w:p w14:paraId="2CCD3DA9" w14:textId="77777777" w:rsidR="00B820A5" w:rsidRPr="00E82F62" w:rsidRDefault="00B820A5" w:rsidP="00817216">
      <w:pPr>
        <w:jc w:val="center"/>
        <w:rPr>
          <w:rFonts w:ascii="Times New Roman" w:hAnsi="Times New Roman" w:cs="Times New Roman"/>
          <w:b/>
          <w:bCs/>
          <w:noProof/>
          <w:sz w:val="24"/>
          <w:szCs w:val="24"/>
          <w:u w:val="single"/>
        </w:rPr>
      </w:pPr>
    </w:p>
    <w:p w14:paraId="595167A6" w14:textId="77777777" w:rsidR="00B820A5" w:rsidRPr="00E82F62" w:rsidRDefault="00B820A5" w:rsidP="00817216">
      <w:pPr>
        <w:jc w:val="center"/>
        <w:rPr>
          <w:rFonts w:ascii="Times New Roman" w:hAnsi="Times New Roman" w:cs="Times New Roman"/>
          <w:b/>
          <w:bCs/>
          <w:noProof/>
          <w:sz w:val="24"/>
          <w:szCs w:val="24"/>
          <w:u w:val="single"/>
        </w:rPr>
      </w:pPr>
    </w:p>
    <w:p w14:paraId="253AE3E6" w14:textId="77777777" w:rsidR="00B820A5" w:rsidRPr="00E82F62" w:rsidRDefault="00B820A5" w:rsidP="00817216">
      <w:pPr>
        <w:jc w:val="center"/>
        <w:rPr>
          <w:rFonts w:ascii="Times New Roman" w:hAnsi="Times New Roman" w:cs="Times New Roman"/>
          <w:b/>
          <w:bCs/>
          <w:noProof/>
          <w:sz w:val="24"/>
          <w:szCs w:val="24"/>
          <w:u w:val="single"/>
        </w:rPr>
      </w:pPr>
    </w:p>
    <w:p w14:paraId="10489D58" w14:textId="77777777" w:rsidR="00B820A5" w:rsidRPr="00E82F62" w:rsidRDefault="00B820A5" w:rsidP="00817216">
      <w:pPr>
        <w:jc w:val="center"/>
        <w:rPr>
          <w:rFonts w:ascii="Times New Roman" w:hAnsi="Times New Roman" w:cs="Times New Roman"/>
          <w:b/>
          <w:bCs/>
          <w:noProof/>
          <w:sz w:val="24"/>
          <w:szCs w:val="24"/>
          <w:u w:val="single"/>
        </w:rPr>
      </w:pPr>
    </w:p>
    <w:p w14:paraId="555429DE" w14:textId="77777777" w:rsidR="00B820A5" w:rsidRPr="00E82F62" w:rsidRDefault="00B820A5" w:rsidP="00817216">
      <w:pPr>
        <w:jc w:val="center"/>
        <w:rPr>
          <w:rFonts w:ascii="Times New Roman" w:hAnsi="Times New Roman" w:cs="Times New Roman"/>
          <w:b/>
          <w:bCs/>
          <w:noProof/>
          <w:sz w:val="24"/>
          <w:szCs w:val="24"/>
          <w:u w:val="single"/>
        </w:rPr>
      </w:pPr>
    </w:p>
    <w:p w14:paraId="0BEA015F" w14:textId="77777777" w:rsidR="00B820A5" w:rsidRPr="00E82F62" w:rsidRDefault="00B820A5" w:rsidP="00817216">
      <w:pPr>
        <w:jc w:val="center"/>
        <w:rPr>
          <w:rFonts w:ascii="Times New Roman" w:hAnsi="Times New Roman" w:cs="Times New Roman"/>
          <w:b/>
          <w:bCs/>
          <w:noProof/>
          <w:sz w:val="24"/>
          <w:szCs w:val="24"/>
          <w:u w:val="single"/>
        </w:rPr>
      </w:pPr>
    </w:p>
    <w:p w14:paraId="4E63894D" w14:textId="77777777" w:rsidR="00B820A5" w:rsidRPr="00E82F62" w:rsidRDefault="00B820A5" w:rsidP="00817216">
      <w:pPr>
        <w:jc w:val="center"/>
        <w:rPr>
          <w:rFonts w:ascii="Times New Roman" w:hAnsi="Times New Roman" w:cs="Times New Roman"/>
          <w:b/>
          <w:bCs/>
          <w:noProof/>
          <w:sz w:val="24"/>
          <w:szCs w:val="24"/>
          <w:u w:val="single"/>
        </w:rPr>
      </w:pPr>
    </w:p>
    <w:p w14:paraId="4F5378C3" w14:textId="77777777" w:rsidR="00B820A5" w:rsidRPr="00E82F62" w:rsidRDefault="00B820A5" w:rsidP="00817216">
      <w:pPr>
        <w:jc w:val="center"/>
        <w:rPr>
          <w:rFonts w:ascii="Times New Roman" w:hAnsi="Times New Roman" w:cs="Times New Roman"/>
          <w:b/>
          <w:bCs/>
          <w:noProof/>
          <w:sz w:val="24"/>
          <w:szCs w:val="24"/>
          <w:u w:val="single"/>
        </w:rPr>
      </w:pPr>
    </w:p>
    <w:p w14:paraId="2970390C" w14:textId="77777777" w:rsidR="00B820A5" w:rsidRPr="00E82F62" w:rsidRDefault="00B820A5" w:rsidP="00817216">
      <w:pPr>
        <w:jc w:val="center"/>
        <w:rPr>
          <w:rFonts w:ascii="Times New Roman" w:hAnsi="Times New Roman" w:cs="Times New Roman"/>
          <w:b/>
          <w:bCs/>
          <w:noProof/>
          <w:sz w:val="24"/>
          <w:szCs w:val="24"/>
          <w:u w:val="single"/>
        </w:rPr>
      </w:pPr>
    </w:p>
    <w:p w14:paraId="035406B3" w14:textId="77777777" w:rsidR="00B820A5" w:rsidRPr="00E82F62" w:rsidRDefault="00B820A5" w:rsidP="00817216">
      <w:pPr>
        <w:jc w:val="center"/>
        <w:rPr>
          <w:rFonts w:ascii="Times New Roman" w:hAnsi="Times New Roman" w:cs="Times New Roman"/>
          <w:b/>
          <w:bCs/>
          <w:noProof/>
          <w:sz w:val="24"/>
          <w:szCs w:val="24"/>
          <w:u w:val="single"/>
        </w:rPr>
      </w:pPr>
    </w:p>
    <w:p w14:paraId="74AFB714" w14:textId="77777777" w:rsidR="00B820A5" w:rsidRPr="00E82F62" w:rsidRDefault="00B820A5" w:rsidP="00817216">
      <w:pPr>
        <w:jc w:val="center"/>
        <w:rPr>
          <w:rFonts w:ascii="Times New Roman" w:hAnsi="Times New Roman" w:cs="Times New Roman"/>
          <w:b/>
          <w:bCs/>
          <w:noProof/>
          <w:sz w:val="24"/>
          <w:szCs w:val="24"/>
          <w:u w:val="single"/>
        </w:rPr>
      </w:pPr>
    </w:p>
    <w:p w14:paraId="30E59ED3" w14:textId="77777777" w:rsidR="00B820A5" w:rsidRPr="00E82F62" w:rsidRDefault="00B820A5" w:rsidP="00817216">
      <w:pPr>
        <w:jc w:val="center"/>
        <w:rPr>
          <w:rFonts w:ascii="Times New Roman" w:hAnsi="Times New Roman" w:cs="Times New Roman"/>
          <w:b/>
          <w:bCs/>
          <w:noProof/>
          <w:sz w:val="24"/>
          <w:szCs w:val="24"/>
          <w:u w:val="single"/>
        </w:rPr>
      </w:pPr>
    </w:p>
    <w:p w14:paraId="62638344" w14:textId="77777777" w:rsidR="00E82F62" w:rsidRPr="00E82F62" w:rsidRDefault="00E82F62" w:rsidP="00DC4AE1">
      <w:pPr>
        <w:rPr>
          <w:rFonts w:ascii="Times New Roman" w:hAnsi="Times New Roman" w:cs="Times New Roman"/>
          <w:b/>
          <w:bCs/>
          <w:noProof/>
          <w:sz w:val="24"/>
          <w:szCs w:val="24"/>
          <w:u w:val="single"/>
        </w:rPr>
      </w:pPr>
    </w:p>
    <w:p w14:paraId="493EA2BB" w14:textId="6DBDAE5B" w:rsidR="00960833" w:rsidRPr="00E82F62" w:rsidRDefault="00171E44" w:rsidP="00817216">
      <w:pPr>
        <w:jc w:val="center"/>
        <w:rPr>
          <w:rFonts w:ascii="Times New Roman" w:hAnsi="Times New Roman" w:cs="Times New Roman"/>
          <w:b/>
          <w:bCs/>
          <w:noProof/>
          <w:sz w:val="24"/>
          <w:szCs w:val="24"/>
          <w:u w:val="single"/>
        </w:rPr>
      </w:pPr>
      <w:r w:rsidRPr="00E82F62">
        <w:rPr>
          <w:rFonts w:ascii="Times New Roman" w:hAnsi="Times New Roman" w:cs="Times New Roman"/>
          <w:b/>
          <w:bCs/>
          <w:noProof/>
          <w:sz w:val="24"/>
          <w:szCs w:val="24"/>
          <w:u w:val="single"/>
        </w:rPr>
        <w:lastRenderedPageBreak/>
        <w:t xml:space="preserve">3) </w:t>
      </w:r>
      <w:r w:rsidR="001874D8" w:rsidRPr="00E82F62">
        <w:rPr>
          <w:rFonts w:ascii="Times New Roman" w:hAnsi="Times New Roman" w:cs="Times New Roman"/>
          <w:b/>
          <w:bCs/>
          <w:noProof/>
          <w:sz w:val="24"/>
          <w:szCs w:val="24"/>
          <w:u w:val="single"/>
        </w:rPr>
        <w:t>Time Series</w:t>
      </w:r>
      <w:r w:rsidR="00C243DA" w:rsidRPr="00E82F62">
        <w:rPr>
          <w:rFonts w:ascii="Times New Roman" w:hAnsi="Times New Roman" w:cs="Times New Roman"/>
          <w:b/>
          <w:bCs/>
          <w:noProof/>
          <w:sz w:val="24"/>
          <w:szCs w:val="24"/>
          <w:u w:val="single"/>
        </w:rPr>
        <w:t xml:space="preserve"> and Cross sectional</w:t>
      </w:r>
      <w:r w:rsidR="001874D8" w:rsidRPr="00E82F62">
        <w:rPr>
          <w:rFonts w:ascii="Times New Roman" w:hAnsi="Times New Roman" w:cs="Times New Roman"/>
          <w:b/>
          <w:bCs/>
          <w:noProof/>
          <w:sz w:val="24"/>
          <w:szCs w:val="24"/>
          <w:u w:val="single"/>
        </w:rPr>
        <w:t xml:space="preserve"> Analysis</w:t>
      </w:r>
    </w:p>
    <w:p w14:paraId="31D2C66E" w14:textId="6C0C9B69" w:rsidR="001874D8" w:rsidRPr="00E82F62" w:rsidRDefault="00171E44">
      <w:pPr>
        <w:rPr>
          <w:rFonts w:ascii="Times New Roman" w:hAnsi="Times New Roman" w:cs="Times New Roman"/>
          <w:noProof/>
          <w:sz w:val="24"/>
          <w:szCs w:val="24"/>
        </w:rPr>
      </w:pPr>
      <w:r w:rsidRPr="00E82F62">
        <w:rPr>
          <w:rFonts w:ascii="Times New Roman" w:hAnsi="Times New Roman" w:cs="Times New Roman"/>
          <w:noProof/>
          <w:sz w:val="24"/>
          <w:szCs w:val="24"/>
        </w:rPr>
        <w:t xml:space="preserve">a) The following charts present a </w:t>
      </w:r>
      <w:r w:rsidR="003E2523" w:rsidRPr="00E82F62">
        <w:rPr>
          <w:rFonts w:ascii="Times New Roman" w:hAnsi="Times New Roman" w:cs="Times New Roman"/>
          <w:noProof/>
          <w:sz w:val="24"/>
          <w:szCs w:val="24"/>
        </w:rPr>
        <w:t xml:space="preserve">trend analysis </w:t>
      </w:r>
      <w:r w:rsidRPr="00E82F62">
        <w:rPr>
          <w:rFonts w:ascii="Times New Roman" w:hAnsi="Times New Roman" w:cs="Times New Roman"/>
          <w:noProof/>
          <w:sz w:val="24"/>
          <w:szCs w:val="24"/>
        </w:rPr>
        <w:t>of Chevron Phillips, Balchem Corporation, and Liquidmetal Technologies regarding their overall profitability, utilizing the Net Profit Ratio and Gross Profit Ratio.</w:t>
      </w:r>
    </w:p>
    <w:p w14:paraId="30C7080B" w14:textId="720A8EAA" w:rsidR="00DA222F" w:rsidRPr="00E82F62" w:rsidRDefault="00745108">
      <w:pPr>
        <w:rPr>
          <w:rFonts w:ascii="Times New Roman" w:hAnsi="Times New Roman" w:cs="Times New Roman"/>
          <w:noProof/>
          <w:sz w:val="24"/>
          <w:szCs w:val="24"/>
        </w:rPr>
      </w:pPr>
      <w:r w:rsidRPr="00E82F62">
        <w:rPr>
          <w:rFonts w:ascii="Times New Roman" w:hAnsi="Times New Roman" w:cs="Times New Roman"/>
          <w:noProof/>
          <w:sz w:val="24"/>
          <w:szCs w:val="24"/>
        </w:rPr>
        <w:t xml:space="preserve"> </w:t>
      </w:r>
      <w:r w:rsidR="0065638B">
        <w:rPr>
          <w:noProof/>
        </w:rPr>
        <w:drawing>
          <wp:inline distT="0" distB="0" distL="0" distR="0" wp14:anchorId="41BFD88E" wp14:editId="776C7F09">
            <wp:extent cx="3291840" cy="2354580"/>
            <wp:effectExtent l="0" t="0" r="3810" b="7620"/>
            <wp:docPr id="160143624" name="Chart 1">
              <a:extLst xmlns:a="http://schemas.openxmlformats.org/drawingml/2006/main">
                <a:ext uri="{FF2B5EF4-FFF2-40B4-BE49-F238E27FC236}">
                  <a16:creationId xmlns:a16="http://sch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D4787" w:rsidRPr="00E82F62">
        <w:rPr>
          <w:rFonts w:ascii="Times New Roman" w:hAnsi="Times New Roman" w:cs="Times New Roman"/>
          <w:noProof/>
          <w:sz w:val="24"/>
          <w:szCs w:val="24"/>
        </w:rPr>
        <w:t xml:space="preserve"> </w:t>
      </w:r>
      <w:r w:rsidR="0065638B">
        <w:rPr>
          <w:noProof/>
        </w:rPr>
        <w:drawing>
          <wp:inline distT="0" distB="0" distL="0" distR="0" wp14:anchorId="5EA93642" wp14:editId="18527C36">
            <wp:extent cx="3101340" cy="2354580"/>
            <wp:effectExtent l="0" t="0" r="3810" b="7620"/>
            <wp:docPr id="703101938" name="Chart 1">
              <a:extLst xmlns:a="http://schemas.openxmlformats.org/drawingml/2006/main">
                <a:ext uri="{FF2B5EF4-FFF2-40B4-BE49-F238E27FC236}">
                  <a16:creationId xmlns:a16="http://schemas.microsoft.com/office/drawing/2014/main" id="{F3978DC2-78DA-FA7B-470F-548D5A58E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B31605" w14:textId="3AB2F877" w:rsidR="005D4787" w:rsidRPr="00E82F62" w:rsidRDefault="00171E44">
      <w:pPr>
        <w:rPr>
          <w:rFonts w:ascii="Times New Roman" w:hAnsi="Times New Roman" w:cs="Times New Roman"/>
          <w:noProof/>
          <w:sz w:val="24"/>
          <w:szCs w:val="24"/>
        </w:rPr>
      </w:pPr>
      <w:r w:rsidRPr="00E82F62">
        <w:rPr>
          <w:rFonts w:ascii="Times New Roman" w:hAnsi="Times New Roman" w:cs="Times New Roman"/>
          <w:noProof/>
          <w:sz w:val="24"/>
          <w:szCs w:val="24"/>
        </w:rPr>
        <w:t xml:space="preserve">b) The following charts present a </w:t>
      </w:r>
      <w:r w:rsidR="003E2523" w:rsidRPr="00E82F62">
        <w:rPr>
          <w:rFonts w:ascii="Times New Roman" w:hAnsi="Times New Roman" w:cs="Times New Roman"/>
          <w:noProof/>
          <w:sz w:val="24"/>
          <w:szCs w:val="24"/>
        </w:rPr>
        <w:t>trend analysis</w:t>
      </w:r>
      <w:r w:rsidRPr="00E82F62">
        <w:rPr>
          <w:rFonts w:ascii="Times New Roman" w:hAnsi="Times New Roman" w:cs="Times New Roman"/>
          <w:noProof/>
          <w:sz w:val="24"/>
          <w:szCs w:val="24"/>
        </w:rPr>
        <w:t xml:space="preserve"> of Chevron Phillips, Balchem Corporation, and Liquidmetal Technologies regarding their</w:t>
      </w:r>
      <w:r w:rsidR="00D7243F" w:rsidRPr="00E82F62">
        <w:rPr>
          <w:rFonts w:ascii="Times New Roman" w:hAnsi="Times New Roman" w:cs="Times New Roman"/>
          <w:noProof/>
          <w:sz w:val="24"/>
          <w:szCs w:val="24"/>
        </w:rPr>
        <w:t xml:space="preserve"> components of</w:t>
      </w:r>
      <w:r w:rsidRPr="00E82F62">
        <w:rPr>
          <w:rFonts w:ascii="Times New Roman" w:hAnsi="Times New Roman" w:cs="Times New Roman"/>
          <w:noProof/>
          <w:sz w:val="24"/>
          <w:szCs w:val="24"/>
        </w:rPr>
        <w:t xml:space="preserve"> profitability, utilizing the Net Profit Ratio and </w:t>
      </w:r>
      <w:r w:rsidR="00D7243F" w:rsidRPr="00E82F62">
        <w:rPr>
          <w:rFonts w:ascii="Times New Roman" w:hAnsi="Times New Roman" w:cs="Times New Roman"/>
          <w:noProof/>
          <w:sz w:val="24"/>
          <w:szCs w:val="24"/>
        </w:rPr>
        <w:t>Return on Average Capital Employed.</w:t>
      </w:r>
    </w:p>
    <w:p w14:paraId="1A4164B9" w14:textId="04CEC12E" w:rsidR="004C7FF8" w:rsidRPr="00E82F62" w:rsidRDefault="0065638B">
      <w:pPr>
        <w:rPr>
          <w:rFonts w:ascii="Times New Roman" w:hAnsi="Times New Roman" w:cs="Times New Roman"/>
          <w:sz w:val="24"/>
          <w:szCs w:val="24"/>
        </w:rPr>
      </w:pPr>
      <w:r>
        <w:rPr>
          <w:noProof/>
        </w:rPr>
        <w:drawing>
          <wp:inline distT="0" distB="0" distL="0" distR="0" wp14:anchorId="1912B246" wp14:editId="1C1BF401">
            <wp:extent cx="3291840" cy="2354580"/>
            <wp:effectExtent l="0" t="0" r="3810" b="7620"/>
            <wp:docPr id="1856155094" name="Chart 1">
              <a:extLst xmlns:a="http://schemas.openxmlformats.org/drawingml/2006/main">
                <a:ext uri="{FF2B5EF4-FFF2-40B4-BE49-F238E27FC236}">
                  <a16:creationId xmlns:a16="http://schemas.microsoft.com/office/drawing/2014/main" id="{95E8D986-52E2-7618-96E9-5FF31E21E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54DD62" wp14:editId="2F73F01F">
            <wp:extent cx="3238500" cy="2781300"/>
            <wp:effectExtent l="0" t="0" r="0" b="0"/>
            <wp:docPr id="303594646" name="Chart 1">
              <a:extLst xmlns:a="http://schemas.openxmlformats.org/drawingml/2006/main">
                <a:ext uri="{FF2B5EF4-FFF2-40B4-BE49-F238E27FC236}">
                  <a16:creationId xmlns:a16="http://schemas.microsoft.com/office/drawing/2014/main" id="{7E175A0E-A915-2125-1C01-E24796182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D4787" w:rsidRPr="00E82F62">
        <w:rPr>
          <w:rFonts w:ascii="Times New Roman" w:hAnsi="Times New Roman" w:cs="Times New Roman"/>
          <w:sz w:val="24"/>
          <w:szCs w:val="24"/>
        </w:rPr>
        <w:t xml:space="preserve"> </w:t>
      </w:r>
    </w:p>
    <w:p w14:paraId="24FD3348" w14:textId="54E5BFD2" w:rsidR="004C7FF8" w:rsidRPr="00E82F62" w:rsidRDefault="004C7FF8">
      <w:pPr>
        <w:rPr>
          <w:rFonts w:ascii="Times New Roman" w:hAnsi="Times New Roman" w:cs="Times New Roman"/>
          <w:sz w:val="24"/>
          <w:szCs w:val="24"/>
        </w:rPr>
      </w:pPr>
      <w:r w:rsidRPr="00E82F62">
        <w:rPr>
          <w:rFonts w:ascii="Times New Roman" w:hAnsi="Times New Roman" w:cs="Times New Roman"/>
          <w:sz w:val="24"/>
          <w:szCs w:val="24"/>
        </w:rPr>
        <w:t xml:space="preserve">c) The following charts present a </w:t>
      </w:r>
      <w:r w:rsidR="003E2523" w:rsidRPr="00E82F62">
        <w:rPr>
          <w:rFonts w:ascii="Times New Roman" w:hAnsi="Times New Roman" w:cs="Times New Roman"/>
          <w:sz w:val="24"/>
          <w:szCs w:val="24"/>
        </w:rPr>
        <w:t>trend analysis</w:t>
      </w:r>
      <w:r w:rsidRPr="00E82F62">
        <w:rPr>
          <w:rFonts w:ascii="Times New Roman" w:hAnsi="Times New Roman" w:cs="Times New Roman"/>
          <w:sz w:val="24"/>
          <w:szCs w:val="24"/>
        </w:rPr>
        <w:t xml:space="preserve"> of Chevron Phillips, Balchem Corporation, and Liquidmetal Technologies regarding their risk ratios, utilizing the Interest Coverage ratio and Net Debt Ratio.</w:t>
      </w:r>
    </w:p>
    <w:p w14:paraId="448A9347" w14:textId="6C9D7B02" w:rsidR="00745108" w:rsidRPr="00E82F62" w:rsidRDefault="00C2017E">
      <w:pPr>
        <w:rPr>
          <w:rFonts w:ascii="Times New Roman" w:hAnsi="Times New Roman" w:cs="Times New Roman"/>
          <w:sz w:val="24"/>
          <w:szCs w:val="24"/>
        </w:rPr>
      </w:pPr>
      <w:r>
        <w:rPr>
          <w:noProof/>
        </w:rPr>
        <w:lastRenderedPageBreak/>
        <w:drawing>
          <wp:inline distT="0" distB="0" distL="0" distR="0" wp14:anchorId="0B0B1EAD" wp14:editId="79D3D2CA">
            <wp:extent cx="3246120" cy="2667000"/>
            <wp:effectExtent l="0" t="0" r="11430" b="0"/>
            <wp:docPr id="1423017864" name="Chart 1">
              <a:extLst xmlns:a="http://schemas.openxmlformats.org/drawingml/2006/main">
                <a:ext uri="{FF2B5EF4-FFF2-40B4-BE49-F238E27FC236}">
                  <a16:creationId xmlns:a16="http://schemas.microsoft.com/office/drawing/2014/main" id="{B5F5668D-0D4E-62C9-F538-739D3CCF1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249DA">
        <w:rPr>
          <w:noProof/>
        </w:rPr>
        <w:drawing>
          <wp:inline distT="0" distB="0" distL="0" distR="0" wp14:anchorId="1D2B6887" wp14:editId="705B4E32">
            <wp:extent cx="3299460" cy="2743200"/>
            <wp:effectExtent l="0" t="0" r="15240" b="0"/>
            <wp:docPr id="989408561" name="Chart 1">
              <a:extLst xmlns:a="http://schemas.openxmlformats.org/drawingml/2006/main">
                <a:ext uri="{FF2B5EF4-FFF2-40B4-BE49-F238E27FC236}">
                  <a16:creationId xmlns:a16="http://schemas.microsoft.com/office/drawing/2014/main" id="{0D4ACB9F-68B6-1814-962F-8BAB5DE75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D4787" w:rsidRPr="00E82F62">
        <w:rPr>
          <w:rFonts w:ascii="Times New Roman" w:hAnsi="Times New Roman" w:cs="Times New Roman"/>
          <w:sz w:val="24"/>
          <w:szCs w:val="24"/>
        </w:rPr>
        <w:t xml:space="preserve"> </w:t>
      </w:r>
    </w:p>
    <w:p w14:paraId="77991277" w14:textId="731F8834" w:rsidR="00F52A6F" w:rsidRPr="00E82F62" w:rsidRDefault="00715F5C" w:rsidP="00B820A5">
      <w:pPr>
        <w:jc w:val="center"/>
        <w:rPr>
          <w:rFonts w:ascii="Times New Roman" w:hAnsi="Times New Roman" w:cs="Times New Roman"/>
          <w:b/>
          <w:bCs/>
          <w:sz w:val="24"/>
          <w:szCs w:val="24"/>
        </w:rPr>
      </w:pPr>
      <w:r w:rsidRPr="00E82F62">
        <w:rPr>
          <w:rFonts w:ascii="Times New Roman" w:hAnsi="Times New Roman" w:cs="Times New Roman"/>
          <w:b/>
          <w:bCs/>
          <w:sz w:val="24"/>
          <w:szCs w:val="24"/>
        </w:rPr>
        <w:t>Cross Sectional Analysis</w:t>
      </w:r>
    </w:p>
    <w:p w14:paraId="02929A6E" w14:textId="7EF2C7AA" w:rsidR="000F7FC9" w:rsidRPr="00E82F62" w:rsidRDefault="008904D5" w:rsidP="00F52A6F">
      <w:pPr>
        <w:spacing w:line="240" w:lineRule="auto"/>
        <w:rPr>
          <w:rFonts w:ascii="Times New Roman" w:hAnsi="Times New Roman" w:cs="Times New Roman"/>
          <w:sz w:val="24"/>
          <w:szCs w:val="24"/>
        </w:rPr>
      </w:pPr>
      <w:r w:rsidRPr="00E82F62">
        <w:rPr>
          <w:rFonts w:ascii="Times New Roman" w:hAnsi="Times New Roman" w:cs="Times New Roman"/>
          <w:noProof/>
          <w:sz w:val="24"/>
          <w:szCs w:val="24"/>
        </w:rPr>
        <w:t>a) The following charts present a c</w:t>
      </w:r>
      <w:r w:rsidR="003E2523" w:rsidRPr="00E82F62">
        <w:rPr>
          <w:rFonts w:ascii="Times New Roman" w:hAnsi="Times New Roman" w:cs="Times New Roman"/>
          <w:noProof/>
          <w:sz w:val="24"/>
          <w:szCs w:val="24"/>
        </w:rPr>
        <w:t>ross sectional analysis</w:t>
      </w:r>
      <w:r w:rsidRPr="00E82F62">
        <w:rPr>
          <w:rFonts w:ascii="Times New Roman" w:hAnsi="Times New Roman" w:cs="Times New Roman"/>
          <w:noProof/>
          <w:sz w:val="24"/>
          <w:szCs w:val="24"/>
        </w:rPr>
        <w:t xml:space="preserve"> of Chevron Phillips, Balchem Corporation, and Liquidmetal Technologies regarding their overall profitability, utilizing the Net Profit Ratio and Gross Profit Ratio.</w:t>
      </w:r>
    </w:p>
    <w:p w14:paraId="6E622FAC" w14:textId="5E7BE296" w:rsidR="000F7FC9" w:rsidRPr="00E82F62" w:rsidRDefault="0043610E">
      <w:pPr>
        <w:rPr>
          <w:rFonts w:ascii="Times New Roman" w:hAnsi="Times New Roman" w:cs="Times New Roman"/>
          <w:sz w:val="24"/>
          <w:szCs w:val="24"/>
        </w:rPr>
      </w:pPr>
      <w:r>
        <w:rPr>
          <w:noProof/>
        </w:rPr>
        <w:drawing>
          <wp:inline distT="0" distB="0" distL="0" distR="0" wp14:anchorId="67A0B865" wp14:editId="40630616">
            <wp:extent cx="3215640" cy="2743200"/>
            <wp:effectExtent l="0" t="0" r="3810" b="0"/>
            <wp:docPr id="2106072829" name="Chart 1">
              <a:extLst xmlns:a="http://schemas.openxmlformats.org/drawingml/2006/main">
                <a:ext uri="{FF2B5EF4-FFF2-40B4-BE49-F238E27FC236}">
                  <a16:creationId xmlns:a16="http://schemas.microsoft.com/office/drawing/2014/main" id="{1BA6D4B8-B345-0535-DA53-3952D59BB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0F7FC9" w:rsidRPr="00E82F62">
        <w:rPr>
          <w:rFonts w:ascii="Times New Roman" w:hAnsi="Times New Roman" w:cs="Times New Roman"/>
          <w:sz w:val="24"/>
          <w:szCs w:val="24"/>
        </w:rPr>
        <w:t xml:space="preserve"> </w:t>
      </w:r>
      <w:r>
        <w:rPr>
          <w:noProof/>
        </w:rPr>
        <w:drawing>
          <wp:inline distT="0" distB="0" distL="0" distR="0" wp14:anchorId="21D34603" wp14:editId="3EF46211">
            <wp:extent cx="3055620" cy="2773680"/>
            <wp:effectExtent l="0" t="0" r="11430" b="7620"/>
            <wp:docPr id="1804733452" name="Chart 1">
              <a:extLst xmlns:a="http://schemas.openxmlformats.org/drawingml/2006/main">
                <a:ext uri="{FF2B5EF4-FFF2-40B4-BE49-F238E27FC236}">
                  <a16:creationId xmlns:a16="http://schemas.microsoft.com/office/drawing/2014/main" id="{9D826BA3-FCC2-E58D-661E-3926A6A7F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E49483" w14:textId="42E2CE2D" w:rsidR="003E2523" w:rsidRPr="00E82F62" w:rsidRDefault="00F52A6F" w:rsidP="00287975">
      <w:pPr>
        <w:ind w:left="142"/>
        <w:rPr>
          <w:rFonts w:ascii="Times New Roman" w:hAnsi="Times New Roman" w:cs="Times New Roman"/>
          <w:noProof/>
          <w:sz w:val="24"/>
          <w:szCs w:val="24"/>
        </w:rPr>
      </w:pPr>
      <w:r w:rsidRPr="00E82F62">
        <w:rPr>
          <w:rFonts w:ascii="Times New Roman" w:hAnsi="Times New Roman" w:cs="Times New Roman"/>
          <w:noProof/>
          <w:sz w:val="24"/>
          <w:szCs w:val="24"/>
        </w:rPr>
        <w:t>b)</w:t>
      </w:r>
      <w:r w:rsidR="003E2523" w:rsidRPr="00E82F62">
        <w:rPr>
          <w:rFonts w:ascii="Times New Roman" w:hAnsi="Times New Roman" w:cs="Times New Roman"/>
          <w:noProof/>
          <w:sz w:val="24"/>
          <w:szCs w:val="24"/>
        </w:rPr>
        <w:t xml:space="preserve">The following charts present a cross sectional analysis of Chevron Phillips, Balchem Corporation, and Liquidmetal Technologies regarding their components of profitability, utilizing the Net Profit Ratio and </w:t>
      </w:r>
      <w:r w:rsidR="007E6536" w:rsidRPr="00E82F62">
        <w:rPr>
          <w:rFonts w:ascii="Times New Roman" w:hAnsi="Times New Roman" w:cs="Times New Roman"/>
          <w:noProof/>
          <w:sz w:val="24"/>
          <w:szCs w:val="24"/>
        </w:rPr>
        <w:t>Return on Capital Employed</w:t>
      </w:r>
      <w:r w:rsidR="003E2523" w:rsidRPr="00E82F62">
        <w:rPr>
          <w:rFonts w:ascii="Times New Roman" w:hAnsi="Times New Roman" w:cs="Times New Roman"/>
          <w:noProof/>
          <w:sz w:val="24"/>
          <w:szCs w:val="24"/>
        </w:rPr>
        <w:t>.</w:t>
      </w:r>
    </w:p>
    <w:p w14:paraId="015518DF" w14:textId="38AE69C8" w:rsidR="000F7FC9" w:rsidRPr="00E82F62" w:rsidRDefault="0043610E" w:rsidP="00772D58">
      <w:pPr>
        <w:pStyle w:val="ListParagraph"/>
        <w:ind w:left="142" w:firstLine="142"/>
        <w:rPr>
          <w:rFonts w:ascii="Times New Roman" w:hAnsi="Times New Roman" w:cs="Times New Roman"/>
          <w:noProof/>
          <w:sz w:val="24"/>
          <w:szCs w:val="24"/>
        </w:rPr>
      </w:pPr>
      <w:r>
        <w:rPr>
          <w:noProof/>
        </w:rPr>
        <w:lastRenderedPageBreak/>
        <w:drawing>
          <wp:inline distT="0" distB="0" distL="0" distR="0" wp14:anchorId="08590D96" wp14:editId="33FE544A">
            <wp:extent cx="2872740" cy="2743200"/>
            <wp:effectExtent l="0" t="0" r="3810" b="0"/>
            <wp:docPr id="1165041595" name="Chart 1">
              <a:extLst xmlns:a="http://schemas.openxmlformats.org/drawingml/2006/main">
                <a:ext uri="{FF2B5EF4-FFF2-40B4-BE49-F238E27FC236}">
                  <a16:creationId xmlns:a16="http://schemas.microsoft.com/office/drawing/2014/main" id="{1BA6D4B8-B345-0535-DA53-3952D59BB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86B96">
        <w:rPr>
          <w:noProof/>
        </w:rPr>
        <w:drawing>
          <wp:inline distT="0" distB="0" distL="0" distR="0" wp14:anchorId="19C243E3" wp14:editId="0845CD7D">
            <wp:extent cx="3390900" cy="2743200"/>
            <wp:effectExtent l="0" t="0" r="0" b="0"/>
            <wp:docPr id="1813012287" name="Chart 1">
              <a:extLst xmlns:a="http://schemas.openxmlformats.org/drawingml/2006/main">
                <a:ext uri="{FF2B5EF4-FFF2-40B4-BE49-F238E27FC236}">
                  <a16:creationId xmlns:a16="http://schemas.microsoft.com/office/drawing/2014/main" id="{37B0DCB6-B029-EFFC-615C-095810996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0F7FC9" w:rsidRPr="00E82F62">
        <w:rPr>
          <w:rFonts w:ascii="Times New Roman" w:hAnsi="Times New Roman" w:cs="Times New Roman"/>
          <w:sz w:val="24"/>
          <w:szCs w:val="24"/>
        </w:rPr>
        <w:t xml:space="preserve"> </w:t>
      </w:r>
    </w:p>
    <w:p w14:paraId="0F4E3C8C" w14:textId="659357B2" w:rsidR="005744A7" w:rsidRPr="00E82F62" w:rsidRDefault="0071156C">
      <w:pPr>
        <w:rPr>
          <w:rFonts w:ascii="Times New Roman" w:hAnsi="Times New Roman" w:cs="Times New Roman"/>
          <w:sz w:val="24"/>
          <w:szCs w:val="24"/>
        </w:rPr>
      </w:pPr>
      <w:r w:rsidRPr="00E82F62">
        <w:rPr>
          <w:rFonts w:ascii="Times New Roman" w:hAnsi="Times New Roman" w:cs="Times New Roman"/>
          <w:sz w:val="24"/>
          <w:szCs w:val="24"/>
        </w:rPr>
        <w:t>c</w:t>
      </w:r>
      <w:r w:rsidR="00924239" w:rsidRPr="00E82F62">
        <w:rPr>
          <w:rFonts w:ascii="Times New Roman" w:hAnsi="Times New Roman" w:cs="Times New Roman"/>
          <w:sz w:val="24"/>
          <w:szCs w:val="24"/>
        </w:rPr>
        <w:t xml:space="preserve">) </w:t>
      </w:r>
      <w:r w:rsidR="005744A7" w:rsidRPr="00E82F62">
        <w:rPr>
          <w:rFonts w:ascii="Times New Roman" w:hAnsi="Times New Roman" w:cs="Times New Roman"/>
          <w:sz w:val="24"/>
          <w:szCs w:val="24"/>
        </w:rPr>
        <w:t xml:space="preserve">The following charts present a </w:t>
      </w:r>
      <w:r w:rsidR="001E6F7C" w:rsidRPr="00E82F62">
        <w:rPr>
          <w:rFonts w:ascii="Times New Roman" w:hAnsi="Times New Roman" w:cs="Times New Roman"/>
          <w:sz w:val="24"/>
          <w:szCs w:val="24"/>
        </w:rPr>
        <w:t>cross-sectional</w:t>
      </w:r>
      <w:r w:rsidR="005744A7" w:rsidRPr="00E82F62">
        <w:rPr>
          <w:rFonts w:ascii="Times New Roman" w:hAnsi="Times New Roman" w:cs="Times New Roman"/>
          <w:sz w:val="24"/>
          <w:szCs w:val="24"/>
        </w:rPr>
        <w:t xml:space="preserve"> analysis of Chevron Phillips, Balchem Corporation, and Liquidmetal Technologies regarding their risk ratios, utilizing the Interest Coverage ratio and </w:t>
      </w:r>
      <w:r w:rsidR="00287975" w:rsidRPr="00E82F62">
        <w:rPr>
          <w:rFonts w:ascii="Times New Roman" w:hAnsi="Times New Roman" w:cs="Times New Roman"/>
          <w:sz w:val="24"/>
          <w:szCs w:val="24"/>
        </w:rPr>
        <w:t>Debt to Equity</w:t>
      </w:r>
      <w:r w:rsidR="005744A7" w:rsidRPr="00E82F62">
        <w:rPr>
          <w:rFonts w:ascii="Times New Roman" w:hAnsi="Times New Roman" w:cs="Times New Roman"/>
          <w:sz w:val="24"/>
          <w:szCs w:val="24"/>
        </w:rPr>
        <w:t>.</w:t>
      </w:r>
    </w:p>
    <w:p w14:paraId="7C1AB4D8" w14:textId="09B882BA" w:rsidR="004A3A5A" w:rsidRPr="00E82F62" w:rsidRDefault="0043610E">
      <w:pPr>
        <w:rPr>
          <w:rFonts w:ascii="Times New Roman" w:hAnsi="Times New Roman" w:cs="Times New Roman"/>
          <w:sz w:val="24"/>
          <w:szCs w:val="24"/>
        </w:rPr>
      </w:pPr>
      <w:r>
        <w:rPr>
          <w:noProof/>
        </w:rPr>
        <w:drawing>
          <wp:inline distT="0" distB="0" distL="0" distR="0" wp14:anchorId="73CDCD36" wp14:editId="02F2B45F">
            <wp:extent cx="3215640" cy="2743200"/>
            <wp:effectExtent l="0" t="0" r="3810" b="0"/>
            <wp:docPr id="1223118159" name="Chart 1">
              <a:extLst xmlns:a="http://schemas.openxmlformats.org/drawingml/2006/main">
                <a:ext uri="{FF2B5EF4-FFF2-40B4-BE49-F238E27FC236}">
                  <a16:creationId xmlns:a16="http://schemas.microsoft.com/office/drawing/2014/main" id="{3FA75EED-CA5D-D8B0-CC81-D0F22C0EC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6124DE">
        <w:rPr>
          <w:noProof/>
        </w:rPr>
        <w:drawing>
          <wp:inline distT="0" distB="0" distL="0" distR="0" wp14:anchorId="636D86BA" wp14:editId="717725D1">
            <wp:extent cx="3360420" cy="2743200"/>
            <wp:effectExtent l="0" t="0" r="11430" b="0"/>
            <wp:docPr id="1955258049" name="Chart 1">
              <a:extLst xmlns:a="http://schemas.openxmlformats.org/drawingml/2006/main">
                <a:ext uri="{FF2B5EF4-FFF2-40B4-BE49-F238E27FC236}">
                  <a16:creationId xmlns:a16="http://schemas.microsoft.com/office/drawing/2014/main" id="{8525EAC9-1CEE-3098-2B12-E151BD2998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4A3A5A" w:rsidRPr="00E82F62">
        <w:rPr>
          <w:rFonts w:ascii="Times New Roman" w:hAnsi="Times New Roman" w:cs="Times New Roman"/>
          <w:sz w:val="24"/>
          <w:szCs w:val="24"/>
        </w:rPr>
        <w:t xml:space="preserve"> </w:t>
      </w:r>
    </w:p>
    <w:p w14:paraId="7AC1EC75" w14:textId="5EFAD7CD" w:rsidR="000F7FC9" w:rsidRPr="00E82F62" w:rsidRDefault="001E6F7C" w:rsidP="00872DCB">
      <w:pPr>
        <w:jc w:val="center"/>
        <w:rPr>
          <w:rFonts w:ascii="Times New Roman" w:hAnsi="Times New Roman" w:cs="Times New Roman"/>
          <w:b/>
          <w:bCs/>
          <w:sz w:val="24"/>
          <w:szCs w:val="24"/>
          <w:u w:val="single"/>
        </w:rPr>
      </w:pPr>
      <w:r w:rsidRPr="00E82F62">
        <w:rPr>
          <w:rFonts w:ascii="Times New Roman" w:hAnsi="Times New Roman" w:cs="Times New Roman"/>
          <w:b/>
          <w:bCs/>
          <w:sz w:val="24"/>
          <w:szCs w:val="24"/>
          <w:u w:val="single"/>
        </w:rPr>
        <w:t>4</w:t>
      </w:r>
      <w:r w:rsidR="006C1CFD" w:rsidRPr="00E82F62">
        <w:rPr>
          <w:rFonts w:ascii="Times New Roman" w:hAnsi="Times New Roman" w:cs="Times New Roman"/>
          <w:b/>
          <w:bCs/>
          <w:sz w:val="24"/>
          <w:szCs w:val="24"/>
          <w:u w:val="single"/>
        </w:rPr>
        <w:t xml:space="preserve">) </w:t>
      </w:r>
      <w:r w:rsidR="0092512F" w:rsidRPr="00E82F62">
        <w:rPr>
          <w:rFonts w:ascii="Times New Roman" w:hAnsi="Times New Roman" w:cs="Times New Roman"/>
          <w:b/>
          <w:bCs/>
          <w:sz w:val="24"/>
          <w:szCs w:val="24"/>
          <w:u w:val="single"/>
        </w:rPr>
        <w:t>Discussion of Liquidity Risk of Chevron Philips Chemical Company</w:t>
      </w:r>
    </w:p>
    <w:p w14:paraId="76782749" w14:textId="401B9A85" w:rsidR="002F4445" w:rsidRPr="00E82F62" w:rsidRDefault="002F4445">
      <w:pPr>
        <w:rPr>
          <w:rFonts w:ascii="Times New Roman" w:hAnsi="Times New Roman" w:cs="Times New Roman"/>
          <w:sz w:val="24"/>
          <w:szCs w:val="24"/>
        </w:rPr>
      </w:pPr>
      <w:r w:rsidRPr="00E82F62">
        <w:rPr>
          <w:rFonts w:ascii="Times New Roman" w:hAnsi="Times New Roman" w:cs="Times New Roman"/>
          <w:sz w:val="24"/>
          <w:szCs w:val="24"/>
        </w:rPr>
        <w:t>Liquidity ratios are financial metrics that measure a company's ability to pay its short-term and long-term financial obligations. The liquidity ratios can be analyzed using current ratio and quick ratio (benchmark for the same is 2:1 &amp; 1:1 respectively).</w:t>
      </w:r>
    </w:p>
    <w:p w14:paraId="53DE4B78" w14:textId="45AF314C" w:rsidR="002F4445" w:rsidRPr="00E82F62" w:rsidRDefault="002F4445" w:rsidP="00872DCB">
      <w:pPr>
        <w:jc w:val="center"/>
        <w:rPr>
          <w:rFonts w:ascii="Times New Roman" w:hAnsi="Times New Roman" w:cs="Times New Roman"/>
          <w:sz w:val="24"/>
          <w:szCs w:val="24"/>
        </w:rPr>
      </w:pPr>
      <w:r w:rsidRPr="00E82F62">
        <w:rPr>
          <w:rFonts w:ascii="Times New Roman" w:hAnsi="Times New Roman" w:cs="Times New Roman"/>
          <w:noProof/>
          <w:sz w:val="24"/>
          <w:szCs w:val="24"/>
        </w:rPr>
        <w:drawing>
          <wp:inline distT="0" distB="0" distL="0" distR="0" wp14:anchorId="1D3FE5A0" wp14:editId="6D0316F6">
            <wp:extent cx="5126990" cy="2499360"/>
            <wp:effectExtent l="0" t="0" r="0" b="0"/>
            <wp:docPr id="130253107" name="Picture 1" descr="A graph of a chart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3107" name="Picture 1" descr="A graph of a chart with numbers and a bar chart&#10;&#10;Description automatically generated with medium confidence"/>
                    <pic:cNvPicPr/>
                  </pic:nvPicPr>
                  <pic:blipFill>
                    <a:blip r:embed="rId18"/>
                    <a:stretch>
                      <a:fillRect/>
                    </a:stretch>
                  </pic:blipFill>
                  <pic:spPr>
                    <a:xfrm>
                      <a:off x="0" y="0"/>
                      <a:ext cx="5184514" cy="2527402"/>
                    </a:xfrm>
                    <a:prstGeom prst="rect">
                      <a:avLst/>
                    </a:prstGeom>
                  </pic:spPr>
                </pic:pic>
              </a:graphicData>
            </a:graphic>
          </wp:inline>
        </w:drawing>
      </w:r>
    </w:p>
    <w:p w14:paraId="1D66B717" w14:textId="0B9AEFA9" w:rsidR="000F7FC9" w:rsidRPr="00E82F62" w:rsidRDefault="002F4445">
      <w:pPr>
        <w:rPr>
          <w:rFonts w:ascii="Times New Roman" w:hAnsi="Times New Roman" w:cs="Times New Roman"/>
          <w:sz w:val="24"/>
          <w:szCs w:val="24"/>
        </w:rPr>
      </w:pPr>
      <w:r w:rsidRPr="00E82F62">
        <w:rPr>
          <w:rFonts w:ascii="Times New Roman" w:hAnsi="Times New Roman" w:cs="Times New Roman"/>
          <w:sz w:val="24"/>
          <w:szCs w:val="24"/>
        </w:rPr>
        <w:lastRenderedPageBreak/>
        <w:t>The current ratio has as of 2023 is 1.27:1 which is less than the benchmark suggesting more risk also, the liquidity ratio is 0.87:1 which hasn’t met the benchmark showing the inability to pay its financial obligation in the short term.</w:t>
      </w:r>
    </w:p>
    <w:p w14:paraId="3549F424" w14:textId="4B1905D2" w:rsidR="006209B4" w:rsidRPr="00E82F62" w:rsidRDefault="006209B4" w:rsidP="00872DCB">
      <w:pPr>
        <w:jc w:val="center"/>
        <w:rPr>
          <w:rFonts w:ascii="Times New Roman" w:hAnsi="Times New Roman" w:cs="Times New Roman"/>
          <w:b/>
          <w:bCs/>
          <w:sz w:val="24"/>
          <w:szCs w:val="24"/>
          <w:u w:val="single"/>
        </w:rPr>
      </w:pPr>
      <w:r w:rsidRPr="00E82F62">
        <w:rPr>
          <w:rFonts w:ascii="Times New Roman" w:hAnsi="Times New Roman" w:cs="Times New Roman"/>
          <w:b/>
          <w:bCs/>
          <w:sz w:val="24"/>
          <w:szCs w:val="24"/>
          <w:u w:val="single"/>
        </w:rPr>
        <w:t>5) Discussion of financial risk of Chevron Philips Chemical Company based on a review of notes to the financial statements.</w:t>
      </w:r>
    </w:p>
    <w:p w14:paraId="6B2F2660" w14:textId="0F9C8481" w:rsidR="002F4445" w:rsidRPr="00E82F62" w:rsidRDefault="009F1644">
      <w:pPr>
        <w:rPr>
          <w:rFonts w:ascii="Times New Roman" w:hAnsi="Times New Roman" w:cs="Times New Roman"/>
          <w:sz w:val="24"/>
          <w:szCs w:val="24"/>
        </w:rPr>
      </w:pPr>
      <w:r w:rsidRPr="00E82F62">
        <w:rPr>
          <w:rFonts w:ascii="Times New Roman" w:hAnsi="Times New Roman" w:cs="Times New Roman"/>
          <w:sz w:val="24"/>
          <w:szCs w:val="24"/>
        </w:rPr>
        <w:t>Based on the notes to the financial statements and the financial ratios analyzed on the Chevron Philips Chemical Co. the possibility of losing money on an investment or a business venture is low as the entity has a profit during the current financial year. Further, the company is showing steady growth in the industry with good financial ratios showing fewer financial risks.</w:t>
      </w:r>
    </w:p>
    <w:p w14:paraId="15C138CA" w14:textId="6FE2F602" w:rsidR="00234341" w:rsidRPr="00E82F62" w:rsidRDefault="00234341" w:rsidP="006A2E55">
      <w:pPr>
        <w:rPr>
          <w:rFonts w:ascii="Times New Roman" w:hAnsi="Times New Roman" w:cs="Times New Roman"/>
          <w:sz w:val="24"/>
          <w:szCs w:val="24"/>
        </w:rPr>
      </w:pPr>
      <w:r w:rsidRPr="00E82F62">
        <w:rPr>
          <w:rFonts w:ascii="Times New Roman" w:hAnsi="Times New Roman" w:cs="Times New Roman"/>
          <w:sz w:val="24"/>
          <w:szCs w:val="24"/>
        </w:rPr>
        <w:t xml:space="preserve">From the breakdown of total costs and </w:t>
      </w:r>
      <w:r w:rsidR="00D15F90" w:rsidRPr="00E82F62">
        <w:rPr>
          <w:rFonts w:ascii="Times New Roman" w:hAnsi="Times New Roman" w:cs="Times New Roman"/>
          <w:sz w:val="24"/>
          <w:szCs w:val="24"/>
        </w:rPr>
        <w:t>deductions versus revenues, one may safely conclude that its expense profile is pretty stable. Since high revenue is purchased by crude oil and products, around 59.3% in 2023, Chevron Phillips has heavy exposure to market volatility in the cost of the raw material, which is highly financial risk critical.</w:t>
      </w:r>
      <w:r w:rsidR="00D15F90" w:rsidRPr="00E82F62">
        <w:rPr>
          <w:rFonts w:ascii="Times New Roman" w:hAnsi="Times New Roman" w:cs="Times New Roman"/>
          <w:sz w:val="24"/>
          <w:szCs w:val="24"/>
        </w:rPr>
        <w:br/>
        <w:t>Income Before Tax stands for positive earnings, which reflect resilience against immediate risks, although the net profit margin declined slightly in 2023, reflecting tighter margins in realization.</w:t>
      </w:r>
    </w:p>
    <w:p w14:paraId="1C19C063" w14:textId="46ADD495" w:rsidR="00F7147D" w:rsidRPr="00E82F62" w:rsidRDefault="00D15F90" w:rsidP="00872DCB">
      <w:pPr>
        <w:jc w:val="center"/>
        <w:rPr>
          <w:rFonts w:ascii="Times New Roman" w:hAnsi="Times New Roman" w:cs="Times New Roman"/>
          <w:b/>
          <w:bCs/>
          <w:sz w:val="24"/>
          <w:szCs w:val="24"/>
          <w:u w:val="single"/>
        </w:rPr>
      </w:pPr>
      <w:r w:rsidRPr="00E82F62">
        <w:rPr>
          <w:rFonts w:ascii="Times New Roman" w:hAnsi="Times New Roman" w:cs="Times New Roman"/>
          <w:sz w:val="24"/>
          <w:szCs w:val="24"/>
        </w:rPr>
        <w:br/>
      </w:r>
      <w:r w:rsidR="002B0C26" w:rsidRPr="00E82F62">
        <w:rPr>
          <w:rFonts w:ascii="Times New Roman" w:hAnsi="Times New Roman" w:cs="Times New Roman"/>
          <w:b/>
          <w:bCs/>
          <w:sz w:val="24"/>
          <w:szCs w:val="24"/>
          <w:u w:val="single"/>
        </w:rPr>
        <w:t>6)</w:t>
      </w:r>
      <w:r w:rsidR="00467527" w:rsidRPr="00E82F62">
        <w:rPr>
          <w:rFonts w:ascii="Times New Roman" w:hAnsi="Times New Roman" w:cs="Times New Roman"/>
          <w:b/>
          <w:bCs/>
          <w:sz w:val="24"/>
          <w:szCs w:val="24"/>
          <w:u w:val="single"/>
        </w:rPr>
        <w:t xml:space="preserve"> Discussion of business opportunities and threats posed by Chevron P</w:t>
      </w:r>
      <w:r w:rsidR="00633BC6" w:rsidRPr="00E82F62">
        <w:rPr>
          <w:rFonts w:ascii="Times New Roman" w:hAnsi="Times New Roman" w:cs="Times New Roman"/>
          <w:b/>
          <w:bCs/>
          <w:sz w:val="24"/>
          <w:szCs w:val="24"/>
          <w:u w:val="single"/>
        </w:rPr>
        <w:t xml:space="preserve">hilips Chemical </w:t>
      </w:r>
      <w:r w:rsidR="00EA27DB" w:rsidRPr="00E82F62">
        <w:rPr>
          <w:rFonts w:ascii="Times New Roman" w:hAnsi="Times New Roman" w:cs="Times New Roman"/>
          <w:b/>
          <w:bCs/>
          <w:sz w:val="24"/>
          <w:szCs w:val="24"/>
          <w:u w:val="single"/>
        </w:rPr>
        <w:t>Company</w:t>
      </w:r>
      <w:r w:rsidR="00F817E6" w:rsidRPr="00E82F62">
        <w:rPr>
          <w:rFonts w:ascii="Times New Roman" w:hAnsi="Times New Roman" w:cs="Times New Roman"/>
          <w:b/>
          <w:bCs/>
          <w:sz w:val="24"/>
          <w:szCs w:val="24"/>
          <w:u w:val="single"/>
        </w:rPr>
        <w:t>.</w:t>
      </w:r>
    </w:p>
    <w:p w14:paraId="74BF74B5" w14:textId="26A04C99" w:rsidR="00F7147D" w:rsidRPr="00E82F62" w:rsidRDefault="00F7147D" w:rsidP="00F7147D">
      <w:pPr>
        <w:ind w:left="720"/>
        <w:rPr>
          <w:rFonts w:ascii="Times New Roman" w:hAnsi="Times New Roman" w:cs="Times New Roman"/>
          <w:sz w:val="24"/>
          <w:szCs w:val="24"/>
          <w:u w:val="single"/>
        </w:rPr>
      </w:pPr>
      <w:r w:rsidRPr="00F7147D">
        <w:rPr>
          <w:rFonts w:ascii="Times New Roman" w:hAnsi="Times New Roman" w:cs="Times New Roman"/>
          <w:b/>
          <w:bCs/>
          <w:sz w:val="24"/>
          <w:szCs w:val="24"/>
          <w:u w:val="single"/>
        </w:rPr>
        <w:t>Opportunities</w:t>
      </w:r>
      <w:r w:rsidRPr="00F7147D">
        <w:rPr>
          <w:rFonts w:ascii="Times New Roman" w:hAnsi="Times New Roman" w:cs="Times New Roman"/>
          <w:sz w:val="24"/>
          <w:szCs w:val="24"/>
          <w:u w:val="single"/>
        </w:rPr>
        <w:t xml:space="preserve">: </w:t>
      </w:r>
    </w:p>
    <w:p w14:paraId="1AE06F24" w14:textId="75C34E41" w:rsidR="00F4034E" w:rsidRPr="00F4034E" w:rsidRDefault="00F4034E" w:rsidP="00F4034E">
      <w:pPr>
        <w:ind w:left="720"/>
        <w:rPr>
          <w:rFonts w:ascii="Times New Roman" w:hAnsi="Times New Roman" w:cs="Times New Roman"/>
          <w:sz w:val="24"/>
          <w:szCs w:val="24"/>
        </w:rPr>
      </w:pPr>
      <w:r w:rsidRPr="00F4034E">
        <w:rPr>
          <w:rFonts w:ascii="Times New Roman" w:hAnsi="Times New Roman" w:cs="Times New Roman"/>
          <w:b/>
          <w:bCs/>
          <w:sz w:val="24"/>
          <w:szCs w:val="24"/>
        </w:rPr>
        <w:t>Global Expansion in Emerging Markets</w:t>
      </w:r>
      <w:r w:rsidRPr="00F4034E">
        <w:rPr>
          <w:rFonts w:ascii="Times New Roman" w:hAnsi="Times New Roman" w:cs="Times New Roman"/>
          <w:sz w:val="24"/>
          <w:szCs w:val="24"/>
        </w:rPr>
        <w:t>:</w:t>
      </w:r>
    </w:p>
    <w:p w14:paraId="2F14664F" w14:textId="77777777" w:rsidR="00F4034E" w:rsidRPr="00F4034E" w:rsidRDefault="00F4034E" w:rsidP="00F4034E">
      <w:pPr>
        <w:numPr>
          <w:ilvl w:val="0"/>
          <w:numId w:val="2"/>
        </w:numPr>
        <w:rPr>
          <w:rFonts w:ascii="Times New Roman" w:hAnsi="Times New Roman" w:cs="Times New Roman"/>
          <w:sz w:val="24"/>
          <w:szCs w:val="24"/>
        </w:rPr>
      </w:pPr>
      <w:r w:rsidRPr="00F4034E">
        <w:rPr>
          <w:rFonts w:ascii="Times New Roman" w:hAnsi="Times New Roman" w:cs="Times New Roman"/>
          <w:sz w:val="24"/>
          <w:szCs w:val="24"/>
        </w:rPr>
        <w:t>Growing economies in Asia and Latin America are increasing demand for petrochemical products, especially plastics and specialty chemicals. Chevron Phillips could expand its presence in these regions to tap into new, high-growth markets.</w:t>
      </w:r>
    </w:p>
    <w:p w14:paraId="3CA5C150" w14:textId="73FA7F1B" w:rsidR="00F4034E" w:rsidRPr="00F4034E" w:rsidRDefault="00F4034E" w:rsidP="00F4034E">
      <w:pPr>
        <w:ind w:left="720"/>
        <w:rPr>
          <w:rFonts w:ascii="Times New Roman" w:hAnsi="Times New Roman" w:cs="Times New Roman"/>
          <w:sz w:val="24"/>
          <w:szCs w:val="24"/>
        </w:rPr>
      </w:pPr>
      <w:r w:rsidRPr="00F4034E">
        <w:rPr>
          <w:rFonts w:ascii="Times New Roman" w:hAnsi="Times New Roman" w:cs="Times New Roman"/>
          <w:b/>
          <w:bCs/>
          <w:sz w:val="24"/>
          <w:szCs w:val="24"/>
        </w:rPr>
        <w:t>Sustainability and Green Chemistry</w:t>
      </w:r>
      <w:r w:rsidRPr="00F4034E">
        <w:rPr>
          <w:rFonts w:ascii="Times New Roman" w:hAnsi="Times New Roman" w:cs="Times New Roman"/>
          <w:sz w:val="24"/>
          <w:szCs w:val="24"/>
        </w:rPr>
        <w:t>:</w:t>
      </w:r>
    </w:p>
    <w:p w14:paraId="24C0CD60" w14:textId="35E4F91D" w:rsidR="008E4C59" w:rsidRPr="00F7147D" w:rsidRDefault="00F4034E" w:rsidP="0079126F">
      <w:pPr>
        <w:numPr>
          <w:ilvl w:val="0"/>
          <w:numId w:val="3"/>
        </w:numPr>
        <w:rPr>
          <w:rFonts w:ascii="Times New Roman" w:hAnsi="Times New Roman" w:cs="Times New Roman"/>
          <w:sz w:val="24"/>
          <w:szCs w:val="24"/>
        </w:rPr>
      </w:pPr>
      <w:r w:rsidRPr="00F4034E">
        <w:rPr>
          <w:rFonts w:ascii="Times New Roman" w:hAnsi="Times New Roman" w:cs="Times New Roman"/>
          <w:sz w:val="24"/>
          <w:szCs w:val="24"/>
        </w:rPr>
        <w:t xml:space="preserve">As regulatory and consumer demands shift towards sustainability, there’s a significant opportunity for Chevron Phillips to invest in bio-based or renewable chemicals. Developing a portfolio of environmentally friendly products could </w:t>
      </w:r>
      <w:r w:rsidR="0079126F" w:rsidRPr="00E82F62">
        <w:rPr>
          <w:rFonts w:ascii="Times New Roman" w:hAnsi="Times New Roman" w:cs="Times New Roman"/>
          <w:sz w:val="24"/>
          <w:szCs w:val="24"/>
        </w:rPr>
        <w:t>open</w:t>
      </w:r>
      <w:r w:rsidRPr="00F4034E">
        <w:rPr>
          <w:rFonts w:ascii="Times New Roman" w:hAnsi="Times New Roman" w:cs="Times New Roman"/>
          <w:sz w:val="24"/>
          <w:szCs w:val="24"/>
        </w:rPr>
        <w:t xml:space="preserve"> new revenue streams and improve brand reputation.</w:t>
      </w:r>
    </w:p>
    <w:p w14:paraId="6FED3C3C" w14:textId="733BC045" w:rsidR="00F7147D" w:rsidRPr="00E82F62" w:rsidRDefault="00F7147D" w:rsidP="00F7147D">
      <w:pPr>
        <w:ind w:left="720"/>
        <w:rPr>
          <w:rFonts w:ascii="Times New Roman" w:hAnsi="Times New Roman" w:cs="Times New Roman"/>
          <w:sz w:val="24"/>
          <w:szCs w:val="24"/>
          <w:u w:val="single"/>
        </w:rPr>
      </w:pPr>
      <w:r w:rsidRPr="00F7147D">
        <w:rPr>
          <w:rFonts w:ascii="Times New Roman" w:hAnsi="Times New Roman" w:cs="Times New Roman"/>
          <w:b/>
          <w:bCs/>
          <w:sz w:val="24"/>
          <w:szCs w:val="24"/>
          <w:u w:val="single"/>
        </w:rPr>
        <w:t>Threats</w:t>
      </w:r>
      <w:r w:rsidRPr="00F7147D">
        <w:rPr>
          <w:rFonts w:ascii="Times New Roman" w:hAnsi="Times New Roman" w:cs="Times New Roman"/>
          <w:sz w:val="24"/>
          <w:szCs w:val="24"/>
          <w:u w:val="single"/>
        </w:rPr>
        <w:t xml:space="preserve">: </w:t>
      </w:r>
    </w:p>
    <w:p w14:paraId="01921344" w14:textId="4018A895" w:rsidR="00EC7CBB" w:rsidRPr="00EC7CBB" w:rsidRDefault="00EC7CBB" w:rsidP="00EC7CBB">
      <w:pPr>
        <w:ind w:left="720"/>
        <w:rPr>
          <w:rFonts w:ascii="Times New Roman" w:hAnsi="Times New Roman" w:cs="Times New Roman"/>
          <w:sz w:val="24"/>
          <w:szCs w:val="24"/>
        </w:rPr>
      </w:pPr>
      <w:r w:rsidRPr="00EC7CBB">
        <w:rPr>
          <w:rFonts w:ascii="Times New Roman" w:hAnsi="Times New Roman" w:cs="Times New Roman"/>
          <w:b/>
          <w:bCs/>
          <w:sz w:val="24"/>
          <w:szCs w:val="24"/>
        </w:rPr>
        <w:t>Volatility in Crude Oil Prices</w:t>
      </w:r>
      <w:r w:rsidRPr="00EC7CBB">
        <w:rPr>
          <w:rFonts w:ascii="Times New Roman" w:hAnsi="Times New Roman" w:cs="Times New Roman"/>
          <w:sz w:val="24"/>
          <w:szCs w:val="24"/>
        </w:rPr>
        <w:t>:</w:t>
      </w:r>
    </w:p>
    <w:p w14:paraId="5BF9B719" w14:textId="77777777" w:rsidR="00EC7CBB" w:rsidRPr="00EC7CBB" w:rsidRDefault="00EC7CBB" w:rsidP="00EC7CBB">
      <w:pPr>
        <w:numPr>
          <w:ilvl w:val="0"/>
          <w:numId w:val="5"/>
        </w:numPr>
        <w:rPr>
          <w:rFonts w:ascii="Times New Roman" w:hAnsi="Times New Roman" w:cs="Times New Roman"/>
          <w:sz w:val="24"/>
          <w:szCs w:val="24"/>
        </w:rPr>
      </w:pPr>
      <w:r w:rsidRPr="00EC7CBB">
        <w:rPr>
          <w:rFonts w:ascii="Times New Roman" w:hAnsi="Times New Roman" w:cs="Times New Roman"/>
          <w:sz w:val="24"/>
          <w:szCs w:val="24"/>
        </w:rPr>
        <w:t>Since crude oil is a primary input, Chevron Phillips faces price fluctuation risks. Sudden increases in crude oil prices could squeeze profit margins, especially if it’s unable to pass these costs on to customers.</w:t>
      </w:r>
    </w:p>
    <w:p w14:paraId="15F2180C" w14:textId="4CF86C73" w:rsidR="00EC7CBB" w:rsidRPr="00EC7CBB" w:rsidRDefault="00EC7CBB" w:rsidP="00EC7CBB">
      <w:pPr>
        <w:ind w:left="720"/>
        <w:rPr>
          <w:rFonts w:ascii="Times New Roman" w:hAnsi="Times New Roman" w:cs="Times New Roman"/>
          <w:sz w:val="24"/>
          <w:szCs w:val="24"/>
        </w:rPr>
      </w:pPr>
      <w:r w:rsidRPr="00EC7CBB">
        <w:rPr>
          <w:rFonts w:ascii="Times New Roman" w:hAnsi="Times New Roman" w:cs="Times New Roman"/>
          <w:b/>
          <w:bCs/>
          <w:sz w:val="24"/>
          <w:szCs w:val="24"/>
        </w:rPr>
        <w:t>Regulatory Pressures and Environmental Compliance</w:t>
      </w:r>
      <w:r w:rsidRPr="00EC7CBB">
        <w:rPr>
          <w:rFonts w:ascii="Times New Roman" w:hAnsi="Times New Roman" w:cs="Times New Roman"/>
          <w:sz w:val="24"/>
          <w:szCs w:val="24"/>
        </w:rPr>
        <w:t>:</w:t>
      </w:r>
    </w:p>
    <w:p w14:paraId="60D2134F" w14:textId="164B3893" w:rsidR="007D430E" w:rsidRDefault="00EC7CBB" w:rsidP="006A2E55">
      <w:pPr>
        <w:numPr>
          <w:ilvl w:val="0"/>
          <w:numId w:val="6"/>
        </w:numPr>
        <w:rPr>
          <w:rFonts w:ascii="Times New Roman" w:hAnsi="Times New Roman" w:cs="Times New Roman"/>
          <w:sz w:val="24"/>
          <w:szCs w:val="24"/>
        </w:rPr>
      </w:pPr>
      <w:r w:rsidRPr="00EC7CBB">
        <w:rPr>
          <w:rFonts w:ascii="Times New Roman" w:hAnsi="Times New Roman" w:cs="Times New Roman"/>
          <w:sz w:val="24"/>
          <w:szCs w:val="24"/>
        </w:rPr>
        <w:t xml:space="preserve">The petrochemical industry is subject to strict environmental regulations, which </w:t>
      </w:r>
      <w:proofErr w:type="gramStart"/>
      <w:r w:rsidRPr="00EC7CBB">
        <w:rPr>
          <w:rFonts w:ascii="Times New Roman" w:hAnsi="Times New Roman" w:cs="Times New Roman"/>
          <w:sz w:val="24"/>
          <w:szCs w:val="24"/>
        </w:rPr>
        <w:t>are only expected</w:t>
      </w:r>
      <w:proofErr w:type="gramEnd"/>
      <w:r w:rsidRPr="00EC7CBB">
        <w:rPr>
          <w:rFonts w:ascii="Times New Roman" w:hAnsi="Times New Roman" w:cs="Times New Roman"/>
          <w:sz w:val="24"/>
          <w:szCs w:val="24"/>
        </w:rPr>
        <w:t xml:space="preserve"> to tighten. Compliance costs can be substantial, especially in regions where emission standards are evolving rapidly, adding pressure to profit margins.</w:t>
      </w:r>
    </w:p>
    <w:p w14:paraId="371DE21A" w14:textId="77777777" w:rsidR="00AE4E57" w:rsidRDefault="00AE4E57" w:rsidP="00AE4E57">
      <w:pPr>
        <w:rPr>
          <w:rFonts w:ascii="Times New Roman" w:hAnsi="Times New Roman" w:cs="Times New Roman"/>
          <w:sz w:val="24"/>
          <w:szCs w:val="24"/>
        </w:rPr>
      </w:pPr>
    </w:p>
    <w:p w14:paraId="5D5F5F27" w14:textId="77777777" w:rsidR="00AE4E57" w:rsidRDefault="00AE4E57" w:rsidP="00AE4E57">
      <w:pPr>
        <w:rPr>
          <w:rFonts w:ascii="Times New Roman" w:hAnsi="Times New Roman" w:cs="Times New Roman"/>
          <w:sz w:val="24"/>
          <w:szCs w:val="24"/>
        </w:rPr>
      </w:pPr>
    </w:p>
    <w:p w14:paraId="5253B35F" w14:textId="77777777" w:rsidR="00AE4E57" w:rsidRDefault="00AE4E57" w:rsidP="00AE4E57">
      <w:pPr>
        <w:rPr>
          <w:rFonts w:ascii="Times New Roman" w:hAnsi="Times New Roman" w:cs="Times New Roman"/>
          <w:sz w:val="24"/>
          <w:szCs w:val="24"/>
        </w:rPr>
      </w:pPr>
    </w:p>
    <w:p w14:paraId="7510F77E" w14:textId="77777777" w:rsidR="00AE4E57" w:rsidRDefault="00AE4E57" w:rsidP="00AE4E57">
      <w:pPr>
        <w:rPr>
          <w:rFonts w:ascii="Times New Roman" w:hAnsi="Times New Roman" w:cs="Times New Roman"/>
          <w:sz w:val="24"/>
          <w:szCs w:val="24"/>
        </w:rPr>
      </w:pPr>
    </w:p>
    <w:p w14:paraId="6B69AE19" w14:textId="77777777" w:rsidR="00AE4E57" w:rsidRPr="00E82F62" w:rsidRDefault="00AE4E57" w:rsidP="00AE4E57">
      <w:pPr>
        <w:rPr>
          <w:rFonts w:ascii="Times New Roman" w:hAnsi="Times New Roman" w:cs="Times New Roman"/>
          <w:sz w:val="24"/>
          <w:szCs w:val="24"/>
        </w:rPr>
      </w:pPr>
    </w:p>
    <w:p w14:paraId="0316584A" w14:textId="381EF5A6" w:rsidR="00AE4E57" w:rsidRPr="00AE4E57" w:rsidRDefault="00AE4E57" w:rsidP="00F32652">
      <w:pPr>
        <w:jc w:val="center"/>
        <w:rPr>
          <w:rFonts w:ascii="Times New Roman" w:hAnsi="Times New Roman" w:cs="Times New Roman"/>
          <w:b/>
          <w:bCs/>
          <w:sz w:val="24"/>
          <w:szCs w:val="24"/>
          <w:u w:val="single"/>
          <w:lang w:val="en-US"/>
        </w:rPr>
      </w:pPr>
      <w:r w:rsidRPr="00F32652">
        <w:rPr>
          <w:rFonts w:ascii="Times New Roman" w:hAnsi="Times New Roman" w:cs="Times New Roman"/>
          <w:b/>
          <w:bCs/>
          <w:sz w:val="24"/>
          <w:szCs w:val="24"/>
          <w:u w:val="single"/>
          <w:lang w:val="en-US"/>
        </w:rPr>
        <w:lastRenderedPageBreak/>
        <w:t>7</w:t>
      </w:r>
      <w:r w:rsidRPr="00AE4E57">
        <w:rPr>
          <w:rFonts w:ascii="Times New Roman" w:hAnsi="Times New Roman" w:cs="Times New Roman"/>
          <w:b/>
          <w:bCs/>
          <w:sz w:val="24"/>
          <w:szCs w:val="24"/>
          <w:u w:val="single"/>
          <w:lang w:val="en-US"/>
        </w:rPr>
        <w:t>) Discussion of Liquidity Risk of Balchem Corporation</w:t>
      </w:r>
    </w:p>
    <w:p w14:paraId="0B45BC4B" w14:textId="77777777" w:rsidR="00AE4E57" w:rsidRPr="00AE4E57" w:rsidRDefault="00AE4E57" w:rsidP="00AE4E57">
      <w:pPr>
        <w:rPr>
          <w:rFonts w:ascii="Times New Roman" w:hAnsi="Times New Roman" w:cs="Times New Roman"/>
          <w:sz w:val="24"/>
          <w:szCs w:val="24"/>
          <w:lang w:val="en-US"/>
        </w:rPr>
      </w:pPr>
      <w:r w:rsidRPr="00AE4E57">
        <w:rPr>
          <w:rFonts w:ascii="Times New Roman" w:hAnsi="Times New Roman" w:cs="Times New Roman"/>
          <w:sz w:val="24"/>
          <w:szCs w:val="24"/>
          <w:lang w:val="en-US"/>
        </w:rPr>
        <w:t xml:space="preserve">The liquidity position of Balchem Corporation can be assessed using the </w:t>
      </w:r>
      <w:r w:rsidRPr="00AE4E57">
        <w:rPr>
          <w:rFonts w:ascii="Times New Roman" w:hAnsi="Times New Roman" w:cs="Times New Roman"/>
          <w:b/>
          <w:bCs/>
          <w:sz w:val="24"/>
          <w:szCs w:val="24"/>
          <w:lang w:val="en-US"/>
        </w:rPr>
        <w:t>Current Ratio</w:t>
      </w:r>
      <w:r w:rsidRPr="00AE4E57">
        <w:rPr>
          <w:rFonts w:ascii="Times New Roman" w:hAnsi="Times New Roman" w:cs="Times New Roman"/>
          <w:sz w:val="24"/>
          <w:szCs w:val="24"/>
          <w:lang w:val="en-US"/>
        </w:rPr>
        <w:t xml:space="preserve"> and </w:t>
      </w:r>
      <w:r w:rsidRPr="00AE4E57">
        <w:rPr>
          <w:rFonts w:ascii="Times New Roman" w:hAnsi="Times New Roman" w:cs="Times New Roman"/>
          <w:b/>
          <w:bCs/>
          <w:sz w:val="24"/>
          <w:szCs w:val="24"/>
          <w:lang w:val="en-US"/>
        </w:rPr>
        <w:t>Quick Ratio</w:t>
      </w:r>
      <w:r w:rsidRPr="00AE4E57">
        <w:rPr>
          <w:rFonts w:ascii="Times New Roman" w:hAnsi="Times New Roman" w:cs="Times New Roman"/>
          <w:sz w:val="24"/>
          <w:szCs w:val="24"/>
          <w:lang w:val="en-US"/>
        </w:rPr>
        <w:t>:</w:t>
      </w:r>
    </w:p>
    <w:p w14:paraId="0D553F93" w14:textId="77777777" w:rsidR="00AE4E57" w:rsidRPr="00AE4E57" w:rsidRDefault="00AE4E57" w:rsidP="00AE4E57">
      <w:pPr>
        <w:numPr>
          <w:ilvl w:val="0"/>
          <w:numId w:val="9"/>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Current Ratio</w:t>
      </w:r>
      <w:r w:rsidRPr="00AE4E57">
        <w:rPr>
          <w:rFonts w:ascii="Times New Roman" w:hAnsi="Times New Roman" w:cs="Times New Roman"/>
          <w:sz w:val="24"/>
          <w:szCs w:val="24"/>
          <w:lang w:val="en-US"/>
        </w:rPr>
        <w:t>: Balchem’s current ratio for the years 2023, 2022, and 2021 are 2.1, 2.4, and 2.2, respectively, which are above the typical benchmark of 2:1. This indicates that Balchem generally has enough current assets to cover its current liabilities, suggesting a low liquidity risk.</w:t>
      </w:r>
    </w:p>
    <w:p w14:paraId="1A74A8F6" w14:textId="77777777" w:rsidR="00AE4E57" w:rsidRDefault="00AE4E57" w:rsidP="00AE4E57">
      <w:pPr>
        <w:numPr>
          <w:ilvl w:val="0"/>
          <w:numId w:val="9"/>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Quick Ratio</w:t>
      </w:r>
      <w:r w:rsidRPr="00AE4E57">
        <w:rPr>
          <w:rFonts w:ascii="Times New Roman" w:hAnsi="Times New Roman" w:cs="Times New Roman"/>
          <w:sz w:val="24"/>
          <w:szCs w:val="24"/>
          <w:lang w:val="en-US"/>
        </w:rPr>
        <w:t>: Balchem’s quick ratio for the years 2023, 2022, and 2021 are 1.38, 1.54, and 1.61, respectively. Although the quick ratio is slightly below the benchmark of 1.0 in 2023, it still reflects a reasonable liquidity position, indicating Balchem can cover its short-term obligations without relying heavily on inventory.</w:t>
      </w:r>
    </w:p>
    <w:p w14:paraId="73110B63" w14:textId="7D887E92" w:rsidR="00AE4E57" w:rsidRPr="00AE4E57" w:rsidRDefault="00AE4E57" w:rsidP="00AE4E57">
      <w:pPr>
        <w:ind w:left="720"/>
        <w:rPr>
          <w:rFonts w:ascii="Times New Roman" w:hAnsi="Times New Roman" w:cs="Times New Roman"/>
          <w:sz w:val="24"/>
          <w:szCs w:val="24"/>
          <w:lang w:val="en-US"/>
        </w:rPr>
      </w:pPr>
      <w:r>
        <w:rPr>
          <w:noProof/>
        </w:rPr>
        <w:drawing>
          <wp:inline distT="0" distB="0" distL="0" distR="0" wp14:anchorId="786CB387" wp14:editId="1B182CFD">
            <wp:extent cx="5227320" cy="2987040"/>
            <wp:effectExtent l="0" t="0" r="11430" b="3810"/>
            <wp:docPr id="1377372504" name="Chart 1">
              <a:extLst xmlns:a="http://schemas.openxmlformats.org/drawingml/2006/main">
                <a:ext uri="{FF2B5EF4-FFF2-40B4-BE49-F238E27FC236}">
                  <a16:creationId xmlns:a16="http://schemas.microsoft.com/office/drawing/2014/main" id="{CE3C1C5E-F192-1B12-B371-D5CD356D5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82A34A" w14:textId="77777777" w:rsidR="00AE4E57" w:rsidRPr="00AE4E57" w:rsidRDefault="00AE4E57" w:rsidP="00AE4E57">
      <w:pPr>
        <w:rPr>
          <w:rFonts w:ascii="Times New Roman" w:hAnsi="Times New Roman" w:cs="Times New Roman"/>
          <w:sz w:val="24"/>
          <w:szCs w:val="24"/>
          <w:lang w:val="en-US"/>
        </w:rPr>
      </w:pPr>
      <w:r w:rsidRPr="00AE4E57">
        <w:rPr>
          <w:rFonts w:ascii="Times New Roman" w:hAnsi="Times New Roman" w:cs="Times New Roman"/>
          <w:sz w:val="24"/>
          <w:szCs w:val="24"/>
          <w:lang w:val="en-US"/>
        </w:rPr>
        <w:t>Overall, Balchem’s liquidity position appears stable, with both the current and quick ratios indicating sufficient coverage of liabilities in the short term.</w:t>
      </w:r>
    </w:p>
    <w:p w14:paraId="16BF0A21" w14:textId="1DED9D22" w:rsidR="00AE4E57" w:rsidRPr="00AE4E57" w:rsidRDefault="00AE4E57" w:rsidP="00F32652">
      <w:pPr>
        <w:jc w:val="center"/>
        <w:rPr>
          <w:rFonts w:ascii="Times New Roman" w:hAnsi="Times New Roman" w:cs="Times New Roman"/>
          <w:b/>
          <w:bCs/>
          <w:sz w:val="24"/>
          <w:szCs w:val="24"/>
          <w:u w:val="single"/>
          <w:lang w:val="en-US"/>
        </w:rPr>
      </w:pPr>
      <w:r w:rsidRPr="00F32652">
        <w:rPr>
          <w:rFonts w:ascii="Times New Roman" w:hAnsi="Times New Roman" w:cs="Times New Roman"/>
          <w:b/>
          <w:bCs/>
          <w:sz w:val="24"/>
          <w:szCs w:val="24"/>
          <w:u w:val="single"/>
          <w:lang w:val="en-US"/>
        </w:rPr>
        <w:t>8</w:t>
      </w:r>
      <w:r w:rsidRPr="00AE4E57">
        <w:rPr>
          <w:rFonts w:ascii="Times New Roman" w:hAnsi="Times New Roman" w:cs="Times New Roman"/>
          <w:b/>
          <w:bCs/>
          <w:sz w:val="24"/>
          <w:szCs w:val="24"/>
          <w:u w:val="single"/>
          <w:lang w:val="en-US"/>
        </w:rPr>
        <w:t>) Discussion of Financial Risk of Balchem Corporation</w:t>
      </w:r>
    </w:p>
    <w:p w14:paraId="39F448F7" w14:textId="77777777" w:rsidR="00AE4E57" w:rsidRPr="00AE4E57" w:rsidRDefault="00AE4E57" w:rsidP="00AE4E57">
      <w:pPr>
        <w:rPr>
          <w:rFonts w:ascii="Times New Roman" w:hAnsi="Times New Roman" w:cs="Times New Roman"/>
          <w:sz w:val="24"/>
          <w:szCs w:val="24"/>
          <w:lang w:val="en-US"/>
        </w:rPr>
      </w:pPr>
      <w:r w:rsidRPr="00AE4E57">
        <w:rPr>
          <w:rFonts w:ascii="Times New Roman" w:hAnsi="Times New Roman" w:cs="Times New Roman"/>
          <w:sz w:val="24"/>
          <w:szCs w:val="24"/>
          <w:lang w:val="en-US"/>
        </w:rPr>
        <w:t xml:space="preserve">The financial risk of Balchem Corporation can be analyzed using the </w:t>
      </w:r>
      <w:r w:rsidRPr="00AE4E57">
        <w:rPr>
          <w:rFonts w:ascii="Times New Roman" w:hAnsi="Times New Roman" w:cs="Times New Roman"/>
          <w:b/>
          <w:bCs/>
          <w:sz w:val="24"/>
          <w:szCs w:val="24"/>
          <w:lang w:val="en-US"/>
        </w:rPr>
        <w:t>Interest Coverage Ratio</w:t>
      </w:r>
      <w:r w:rsidRPr="00AE4E57">
        <w:rPr>
          <w:rFonts w:ascii="Times New Roman" w:hAnsi="Times New Roman" w:cs="Times New Roman"/>
          <w:sz w:val="24"/>
          <w:szCs w:val="24"/>
          <w:lang w:val="en-US"/>
        </w:rPr>
        <w:t xml:space="preserve">, </w:t>
      </w:r>
      <w:r w:rsidRPr="00AE4E57">
        <w:rPr>
          <w:rFonts w:ascii="Times New Roman" w:hAnsi="Times New Roman" w:cs="Times New Roman"/>
          <w:b/>
          <w:bCs/>
          <w:sz w:val="24"/>
          <w:szCs w:val="24"/>
          <w:lang w:val="en-US"/>
        </w:rPr>
        <w:t>Debt Ratio</w:t>
      </w:r>
      <w:r w:rsidRPr="00AE4E57">
        <w:rPr>
          <w:rFonts w:ascii="Times New Roman" w:hAnsi="Times New Roman" w:cs="Times New Roman"/>
          <w:sz w:val="24"/>
          <w:szCs w:val="24"/>
          <w:lang w:val="en-US"/>
        </w:rPr>
        <w:t xml:space="preserve">, and </w:t>
      </w:r>
      <w:r w:rsidRPr="00AE4E57">
        <w:rPr>
          <w:rFonts w:ascii="Times New Roman" w:hAnsi="Times New Roman" w:cs="Times New Roman"/>
          <w:b/>
          <w:bCs/>
          <w:sz w:val="24"/>
          <w:szCs w:val="24"/>
          <w:lang w:val="en-US"/>
        </w:rPr>
        <w:t>Return on Capital Employed (ROCE)</w:t>
      </w:r>
      <w:r w:rsidRPr="00AE4E57">
        <w:rPr>
          <w:rFonts w:ascii="Times New Roman" w:hAnsi="Times New Roman" w:cs="Times New Roman"/>
          <w:sz w:val="24"/>
          <w:szCs w:val="24"/>
          <w:lang w:val="en-US"/>
        </w:rPr>
        <w:t>:</w:t>
      </w:r>
    </w:p>
    <w:p w14:paraId="6B9FEF50" w14:textId="77777777" w:rsidR="00AE4E57" w:rsidRPr="00AE4E57" w:rsidRDefault="00AE4E57" w:rsidP="00AE4E57">
      <w:pPr>
        <w:numPr>
          <w:ilvl w:val="0"/>
          <w:numId w:val="10"/>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Interest Coverage Ratio</w:t>
      </w:r>
      <w:r w:rsidRPr="00AE4E57">
        <w:rPr>
          <w:rFonts w:ascii="Times New Roman" w:hAnsi="Times New Roman" w:cs="Times New Roman"/>
          <w:sz w:val="24"/>
          <w:szCs w:val="24"/>
          <w:lang w:val="en-US"/>
        </w:rPr>
        <w:t>: Balchem’s interest coverage ratio was 6.1 in 2023, 13.0 in 2022, and 51.0 in 2021. The decreasing trend suggests that the company’s ability to cover interest expenses with its earnings has weakened over time, though it remains at an acceptable level in 2023. This indicates moderate financial risk regarding debt servicing.</w:t>
      </w:r>
    </w:p>
    <w:p w14:paraId="71ACCA1E" w14:textId="77777777" w:rsidR="00AE4E57" w:rsidRPr="00AE4E57" w:rsidRDefault="00AE4E57" w:rsidP="00AE4E57">
      <w:pPr>
        <w:numPr>
          <w:ilvl w:val="0"/>
          <w:numId w:val="10"/>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Debt Ratio</w:t>
      </w:r>
      <w:r w:rsidRPr="00AE4E57">
        <w:rPr>
          <w:rFonts w:ascii="Times New Roman" w:hAnsi="Times New Roman" w:cs="Times New Roman"/>
          <w:sz w:val="24"/>
          <w:szCs w:val="24"/>
          <w:lang w:val="en-US"/>
        </w:rPr>
        <w:t>: Balchem’s debt ratio is consistently at 30% across the years. This indicates a balanced capital structure with a reasonable level of debt in relation to equity, implying a controlled financial risk profile.</w:t>
      </w:r>
    </w:p>
    <w:p w14:paraId="0CD2DD0F" w14:textId="77777777" w:rsidR="00AE4E57" w:rsidRPr="00AE4E57" w:rsidRDefault="00AE4E57" w:rsidP="00AE4E57">
      <w:pPr>
        <w:numPr>
          <w:ilvl w:val="0"/>
          <w:numId w:val="10"/>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Return on Average Capital Employed (ROCE)</w:t>
      </w:r>
      <w:r w:rsidRPr="00AE4E57">
        <w:rPr>
          <w:rFonts w:ascii="Times New Roman" w:hAnsi="Times New Roman" w:cs="Times New Roman"/>
          <w:sz w:val="24"/>
          <w:szCs w:val="24"/>
          <w:lang w:val="en-US"/>
        </w:rPr>
        <w:t>: Balchem’s ROCE was 9.5% in 2023, 9.0% in 2022, and 11.9% in 2021, showing slight variations. This return level suggests Balchem is efficiently using its capital to generate profit, which is positive for reducing financial risk.</w:t>
      </w:r>
    </w:p>
    <w:p w14:paraId="10773B2E" w14:textId="77777777" w:rsidR="00AE4E57" w:rsidRPr="00AE4E57" w:rsidRDefault="00AE4E57" w:rsidP="00AE4E57">
      <w:pPr>
        <w:rPr>
          <w:rFonts w:ascii="Times New Roman" w:hAnsi="Times New Roman" w:cs="Times New Roman"/>
          <w:sz w:val="24"/>
          <w:szCs w:val="24"/>
          <w:lang w:val="en-US"/>
        </w:rPr>
      </w:pPr>
      <w:r w:rsidRPr="00AE4E57">
        <w:rPr>
          <w:rFonts w:ascii="Times New Roman" w:hAnsi="Times New Roman" w:cs="Times New Roman"/>
          <w:sz w:val="24"/>
          <w:szCs w:val="24"/>
          <w:lang w:val="en-US"/>
        </w:rPr>
        <w:t>Overall, Balchem’s financial risk remains moderate, with sufficient earnings to cover interest obligations and a balanced debt structure. However, the declining interest coverage ratio should be monitored closely.</w:t>
      </w:r>
    </w:p>
    <w:p w14:paraId="49260610" w14:textId="276C1617" w:rsidR="00AE4E57" w:rsidRPr="00AE4E57" w:rsidRDefault="00AE4E57" w:rsidP="00F32652">
      <w:pPr>
        <w:jc w:val="center"/>
        <w:rPr>
          <w:rFonts w:ascii="Times New Roman" w:hAnsi="Times New Roman" w:cs="Times New Roman"/>
          <w:b/>
          <w:bCs/>
          <w:sz w:val="24"/>
          <w:szCs w:val="24"/>
          <w:u w:val="single"/>
          <w:lang w:val="en-US"/>
        </w:rPr>
      </w:pPr>
      <w:r w:rsidRPr="00F32652">
        <w:rPr>
          <w:rFonts w:ascii="Times New Roman" w:hAnsi="Times New Roman" w:cs="Times New Roman"/>
          <w:b/>
          <w:bCs/>
          <w:sz w:val="24"/>
          <w:szCs w:val="24"/>
          <w:u w:val="single"/>
          <w:lang w:val="en-US"/>
        </w:rPr>
        <w:t>9</w:t>
      </w:r>
      <w:r w:rsidRPr="00AE4E57">
        <w:rPr>
          <w:rFonts w:ascii="Times New Roman" w:hAnsi="Times New Roman" w:cs="Times New Roman"/>
          <w:b/>
          <w:bCs/>
          <w:sz w:val="24"/>
          <w:szCs w:val="24"/>
          <w:u w:val="single"/>
          <w:lang w:val="en-US"/>
        </w:rPr>
        <w:t>) Discussion of Business Opportunities and Threats for Balchem Corporation</w:t>
      </w:r>
    </w:p>
    <w:p w14:paraId="52C3700C" w14:textId="77777777" w:rsidR="00AE4E57" w:rsidRPr="00AE4E57" w:rsidRDefault="00AE4E57" w:rsidP="00F32652">
      <w:pPr>
        <w:rPr>
          <w:rFonts w:ascii="Times New Roman" w:hAnsi="Times New Roman" w:cs="Times New Roman"/>
          <w:sz w:val="24"/>
          <w:szCs w:val="24"/>
          <w:u w:val="single"/>
          <w:lang w:val="en-US"/>
        </w:rPr>
      </w:pPr>
      <w:r w:rsidRPr="00AE4E57">
        <w:rPr>
          <w:rFonts w:ascii="Times New Roman" w:hAnsi="Times New Roman" w:cs="Times New Roman"/>
          <w:b/>
          <w:bCs/>
          <w:sz w:val="24"/>
          <w:szCs w:val="24"/>
          <w:u w:val="single"/>
          <w:lang w:val="en-US"/>
        </w:rPr>
        <w:t>Opportunities</w:t>
      </w:r>
      <w:r w:rsidRPr="00AE4E57">
        <w:rPr>
          <w:rFonts w:ascii="Times New Roman" w:hAnsi="Times New Roman" w:cs="Times New Roman"/>
          <w:sz w:val="24"/>
          <w:szCs w:val="24"/>
          <w:u w:val="single"/>
          <w:lang w:val="en-US"/>
        </w:rPr>
        <w:t>:</w:t>
      </w:r>
    </w:p>
    <w:p w14:paraId="2EAE6D34" w14:textId="77777777" w:rsidR="00AE4E57" w:rsidRPr="00AE4E57" w:rsidRDefault="00AE4E57" w:rsidP="00AE4E57">
      <w:pPr>
        <w:numPr>
          <w:ilvl w:val="0"/>
          <w:numId w:val="11"/>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lastRenderedPageBreak/>
        <w:t>Growth in Specialty Ingredients and Chemicals</w:t>
      </w:r>
      <w:r w:rsidRPr="00AE4E57">
        <w:rPr>
          <w:rFonts w:ascii="Times New Roman" w:hAnsi="Times New Roman" w:cs="Times New Roman"/>
          <w:sz w:val="24"/>
          <w:szCs w:val="24"/>
          <w:lang w:val="en-US"/>
        </w:rPr>
        <w:t>: Balchem’s focus on specialty ingredients, such as those used in food, nutrition, and health industries, positions it well to benefit from the increasing consumer demand for health and wellness products.</w:t>
      </w:r>
    </w:p>
    <w:p w14:paraId="74A02C7E" w14:textId="77777777" w:rsidR="00AE4E57" w:rsidRPr="00AE4E57" w:rsidRDefault="00AE4E57" w:rsidP="00AE4E57">
      <w:pPr>
        <w:numPr>
          <w:ilvl w:val="0"/>
          <w:numId w:val="11"/>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Expansion in Emerging Markets</w:t>
      </w:r>
      <w:r w:rsidRPr="00AE4E57">
        <w:rPr>
          <w:rFonts w:ascii="Times New Roman" w:hAnsi="Times New Roman" w:cs="Times New Roman"/>
          <w:sz w:val="24"/>
          <w:szCs w:val="24"/>
          <w:lang w:val="en-US"/>
        </w:rPr>
        <w:t>: With the growth in emerging markets in Asia and Latin America, Balchem has opportunities to expand its presence and increase market share, especially in food ingredients and animal nutrition products.</w:t>
      </w:r>
    </w:p>
    <w:p w14:paraId="3FD7DE5A" w14:textId="77777777" w:rsidR="00AE4E57" w:rsidRPr="00AE4E57" w:rsidRDefault="00AE4E57" w:rsidP="00AE4E57">
      <w:pPr>
        <w:numPr>
          <w:ilvl w:val="0"/>
          <w:numId w:val="11"/>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Sustainable and Green Products</w:t>
      </w:r>
      <w:r w:rsidRPr="00AE4E57">
        <w:rPr>
          <w:rFonts w:ascii="Times New Roman" w:hAnsi="Times New Roman" w:cs="Times New Roman"/>
          <w:sz w:val="24"/>
          <w:szCs w:val="24"/>
          <w:lang w:val="en-US"/>
        </w:rPr>
        <w:t>: Balchem could capitalize on the increasing demand for sustainable products by investing in green chemistry and bio-based ingredients, which would improve its brand reputation and open new revenue streams.</w:t>
      </w:r>
    </w:p>
    <w:p w14:paraId="5779F0D8" w14:textId="77777777" w:rsidR="00AE4E57" w:rsidRPr="00AE4E57" w:rsidRDefault="00AE4E57" w:rsidP="00AE4E57">
      <w:pPr>
        <w:rPr>
          <w:rFonts w:ascii="Times New Roman" w:hAnsi="Times New Roman" w:cs="Times New Roman"/>
          <w:sz w:val="24"/>
          <w:szCs w:val="24"/>
          <w:u w:val="single"/>
          <w:lang w:val="en-US"/>
        </w:rPr>
      </w:pPr>
      <w:r w:rsidRPr="00AE4E57">
        <w:rPr>
          <w:rFonts w:ascii="Times New Roman" w:hAnsi="Times New Roman" w:cs="Times New Roman"/>
          <w:b/>
          <w:bCs/>
          <w:sz w:val="24"/>
          <w:szCs w:val="24"/>
          <w:u w:val="single"/>
          <w:lang w:val="en-US"/>
        </w:rPr>
        <w:t>Threats</w:t>
      </w:r>
      <w:r w:rsidRPr="00AE4E57">
        <w:rPr>
          <w:rFonts w:ascii="Times New Roman" w:hAnsi="Times New Roman" w:cs="Times New Roman"/>
          <w:sz w:val="24"/>
          <w:szCs w:val="24"/>
          <w:u w:val="single"/>
          <w:lang w:val="en-US"/>
        </w:rPr>
        <w:t>:</w:t>
      </w:r>
    </w:p>
    <w:p w14:paraId="7C19799D" w14:textId="77777777" w:rsidR="00AE4E57" w:rsidRPr="00AE4E57" w:rsidRDefault="00AE4E57" w:rsidP="00AE4E57">
      <w:pPr>
        <w:numPr>
          <w:ilvl w:val="0"/>
          <w:numId w:val="12"/>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Fluctuating Raw Material Costs</w:t>
      </w:r>
      <w:r w:rsidRPr="00AE4E57">
        <w:rPr>
          <w:rFonts w:ascii="Times New Roman" w:hAnsi="Times New Roman" w:cs="Times New Roman"/>
          <w:sz w:val="24"/>
          <w:szCs w:val="24"/>
          <w:lang w:val="en-US"/>
        </w:rPr>
        <w:t>: As with other companies in the chemical industry, Balchem faces the risk of price volatility for raw materials. This could impact profitability if the company cannot pass on higher costs to customers.</w:t>
      </w:r>
    </w:p>
    <w:p w14:paraId="785B727E" w14:textId="77777777" w:rsidR="00AE4E57" w:rsidRPr="00AE4E57" w:rsidRDefault="00AE4E57" w:rsidP="00AE4E57">
      <w:pPr>
        <w:numPr>
          <w:ilvl w:val="0"/>
          <w:numId w:val="12"/>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Regulatory and Compliance Costs</w:t>
      </w:r>
      <w:r w:rsidRPr="00AE4E57">
        <w:rPr>
          <w:rFonts w:ascii="Times New Roman" w:hAnsi="Times New Roman" w:cs="Times New Roman"/>
          <w:sz w:val="24"/>
          <w:szCs w:val="24"/>
          <w:lang w:val="en-US"/>
        </w:rPr>
        <w:t>: Operating in the specialty chemicals and nutrition industry brings regulatory challenges, particularly regarding environmental and health standards. Compliance costs could increase if regulations tighten, impacting Balchem’s margins.</w:t>
      </w:r>
    </w:p>
    <w:p w14:paraId="674452B8" w14:textId="77777777" w:rsidR="00AE4E57" w:rsidRDefault="00AE4E57" w:rsidP="00AE4E57">
      <w:pPr>
        <w:numPr>
          <w:ilvl w:val="0"/>
          <w:numId w:val="12"/>
        </w:numPr>
        <w:rPr>
          <w:rFonts w:ascii="Times New Roman" w:hAnsi="Times New Roman" w:cs="Times New Roman"/>
          <w:sz w:val="24"/>
          <w:szCs w:val="24"/>
          <w:lang w:val="en-US"/>
        </w:rPr>
      </w:pPr>
      <w:r w:rsidRPr="00AE4E57">
        <w:rPr>
          <w:rFonts w:ascii="Times New Roman" w:hAnsi="Times New Roman" w:cs="Times New Roman"/>
          <w:b/>
          <w:bCs/>
          <w:sz w:val="24"/>
          <w:szCs w:val="24"/>
          <w:lang w:val="en-US"/>
        </w:rPr>
        <w:t>Competitive Pressure</w:t>
      </w:r>
      <w:r w:rsidRPr="00AE4E57">
        <w:rPr>
          <w:rFonts w:ascii="Times New Roman" w:hAnsi="Times New Roman" w:cs="Times New Roman"/>
          <w:sz w:val="24"/>
          <w:szCs w:val="24"/>
          <w:lang w:val="en-US"/>
        </w:rPr>
        <w:t>: The specialty chemicals industry is competitive, and Balchem faces threats from other companies investing heavily in innovation and technology. Balchem needs to continuously innovate to maintain its competitive edge.</w:t>
      </w:r>
    </w:p>
    <w:p w14:paraId="10242858" w14:textId="0DC23E19" w:rsidR="00AE4E57" w:rsidRPr="00AE4E57" w:rsidRDefault="00AE4E57" w:rsidP="00AE4E57">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10</w:t>
      </w:r>
      <w:r w:rsidRPr="00AE4E57">
        <w:rPr>
          <w:rFonts w:ascii="Times New Roman" w:hAnsi="Times New Roman" w:cs="Times New Roman"/>
          <w:b/>
          <w:bCs/>
          <w:sz w:val="24"/>
          <w:szCs w:val="24"/>
          <w:u w:val="single"/>
        </w:rPr>
        <w:t xml:space="preserve">) Conclusion of which firm in the group of firms your team is analysing </w:t>
      </w:r>
      <w:proofErr w:type="gramStart"/>
      <w:r w:rsidRPr="00AE4E57">
        <w:rPr>
          <w:rFonts w:ascii="Times New Roman" w:hAnsi="Times New Roman" w:cs="Times New Roman"/>
          <w:b/>
          <w:bCs/>
          <w:sz w:val="24"/>
          <w:szCs w:val="24"/>
          <w:u w:val="single"/>
        </w:rPr>
        <w:t>is best positioned</w:t>
      </w:r>
      <w:proofErr w:type="gramEnd"/>
      <w:r w:rsidRPr="00AE4E57">
        <w:rPr>
          <w:rFonts w:ascii="Times New Roman" w:hAnsi="Times New Roman" w:cs="Times New Roman"/>
          <w:b/>
          <w:bCs/>
          <w:sz w:val="24"/>
          <w:szCs w:val="24"/>
          <w:u w:val="single"/>
        </w:rPr>
        <w:t xml:space="preserve"> to succeed (in terms of growth in earnings and the attendant risk) in the future and why.</w:t>
      </w:r>
    </w:p>
    <w:p w14:paraId="562C685F" w14:textId="16181EE7" w:rsidR="00AE4E57" w:rsidRDefault="005227DD" w:rsidP="005227D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E4E57">
        <w:rPr>
          <w:noProof/>
        </w:rPr>
        <w:drawing>
          <wp:inline distT="0" distB="0" distL="0" distR="0" wp14:anchorId="04CF1DDE" wp14:editId="09829412">
            <wp:extent cx="4572000" cy="2743200"/>
            <wp:effectExtent l="0" t="0" r="0" b="0"/>
            <wp:docPr id="965206271" name="Chart 1">
              <a:extLst xmlns:a="http://schemas.openxmlformats.org/drawingml/2006/main">
                <a:ext uri="{FF2B5EF4-FFF2-40B4-BE49-F238E27FC236}">
                  <a16:creationId xmlns:a16="http://schemas.microsoft.com/office/drawing/2014/main" id="{3582A4EA-8659-E62A-48B6-9B5C29AEF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617D43D" w14:textId="77777777" w:rsidR="005227DD" w:rsidRPr="00AE4E57" w:rsidRDefault="005227DD" w:rsidP="005227DD">
      <w:pPr>
        <w:pStyle w:val="ListParagraph"/>
        <w:rPr>
          <w:rFonts w:ascii="Times New Roman" w:hAnsi="Times New Roman" w:cs="Times New Roman"/>
          <w:sz w:val="24"/>
          <w:szCs w:val="24"/>
        </w:rPr>
      </w:pPr>
    </w:p>
    <w:p w14:paraId="00ACEB64" w14:textId="77777777" w:rsidR="00AE4E57" w:rsidRPr="00AE4E57" w:rsidRDefault="00AE4E57" w:rsidP="00AE4E57">
      <w:pPr>
        <w:pStyle w:val="ListParagraph"/>
        <w:numPr>
          <w:ilvl w:val="0"/>
          <w:numId w:val="12"/>
        </w:numPr>
        <w:rPr>
          <w:rFonts w:ascii="Times New Roman" w:hAnsi="Times New Roman" w:cs="Times New Roman"/>
          <w:sz w:val="24"/>
          <w:szCs w:val="24"/>
        </w:rPr>
      </w:pPr>
      <w:r w:rsidRPr="00AE4E57">
        <w:rPr>
          <w:rFonts w:ascii="Times New Roman" w:hAnsi="Times New Roman" w:cs="Times New Roman"/>
          <w:sz w:val="24"/>
          <w:szCs w:val="24"/>
        </w:rPr>
        <w:t xml:space="preserve">As per the chart, the PE ratio of Balchem Corp is the highest among all the companies. But as per the ratios and the analysis of other financial heads, the overall performance of Chevron Philips Chemical Co. has been the best so far showing continuous profitability and stable growth. Thus, it can </w:t>
      </w:r>
      <w:proofErr w:type="gramStart"/>
      <w:r w:rsidRPr="00AE4E57">
        <w:rPr>
          <w:rFonts w:ascii="Times New Roman" w:hAnsi="Times New Roman" w:cs="Times New Roman"/>
          <w:sz w:val="24"/>
          <w:szCs w:val="24"/>
        </w:rPr>
        <w:t>be said</w:t>
      </w:r>
      <w:proofErr w:type="gramEnd"/>
      <w:r w:rsidRPr="00AE4E57">
        <w:rPr>
          <w:rFonts w:ascii="Times New Roman" w:hAnsi="Times New Roman" w:cs="Times New Roman"/>
          <w:sz w:val="24"/>
          <w:szCs w:val="24"/>
        </w:rPr>
        <w:t xml:space="preserve"> that the Chevron Philips Chemical Co. is best positioned to succeed.</w:t>
      </w:r>
    </w:p>
    <w:p w14:paraId="03B69FFC" w14:textId="77777777" w:rsidR="00AE4E57" w:rsidRPr="00AE4E57" w:rsidRDefault="00AE4E57" w:rsidP="00AE4E57">
      <w:pPr>
        <w:rPr>
          <w:rFonts w:ascii="Times New Roman" w:hAnsi="Times New Roman" w:cs="Times New Roman"/>
          <w:sz w:val="24"/>
          <w:szCs w:val="24"/>
        </w:rPr>
      </w:pPr>
    </w:p>
    <w:p w14:paraId="7E634D07" w14:textId="77777777" w:rsidR="00AE4E57" w:rsidRPr="00AE4E57" w:rsidRDefault="00AE4E57">
      <w:pPr>
        <w:rPr>
          <w:rFonts w:ascii="Times New Roman" w:hAnsi="Times New Roman" w:cs="Times New Roman"/>
          <w:sz w:val="24"/>
          <w:szCs w:val="24"/>
          <w:lang w:val="en-US"/>
        </w:rPr>
      </w:pPr>
    </w:p>
    <w:p w14:paraId="51129E83" w14:textId="4D163874" w:rsidR="00903D28" w:rsidRPr="00E82F62" w:rsidRDefault="00903D28">
      <w:pPr>
        <w:rPr>
          <w:rFonts w:ascii="Times New Roman" w:hAnsi="Times New Roman" w:cs="Times New Roman"/>
          <w:sz w:val="24"/>
          <w:szCs w:val="24"/>
        </w:rPr>
      </w:pPr>
    </w:p>
    <w:sectPr w:rsidR="00903D28" w:rsidRPr="00E82F62" w:rsidSect="007451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6D6"/>
    <w:multiLevelType w:val="multilevel"/>
    <w:tmpl w:val="832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47FE"/>
    <w:multiLevelType w:val="multilevel"/>
    <w:tmpl w:val="598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39A6"/>
    <w:multiLevelType w:val="hybridMultilevel"/>
    <w:tmpl w:val="B2C00A90"/>
    <w:lvl w:ilvl="0" w:tplc="52BC46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C260D"/>
    <w:multiLevelType w:val="multilevel"/>
    <w:tmpl w:val="D60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F3EB8"/>
    <w:multiLevelType w:val="multilevel"/>
    <w:tmpl w:val="C6E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767EA"/>
    <w:multiLevelType w:val="multilevel"/>
    <w:tmpl w:val="B7D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F0A4E"/>
    <w:multiLevelType w:val="multilevel"/>
    <w:tmpl w:val="EA3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F4B48"/>
    <w:multiLevelType w:val="multilevel"/>
    <w:tmpl w:val="9F30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F0423"/>
    <w:multiLevelType w:val="multilevel"/>
    <w:tmpl w:val="CA0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F5A8E"/>
    <w:multiLevelType w:val="multilevel"/>
    <w:tmpl w:val="A05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5080E"/>
    <w:multiLevelType w:val="multilevel"/>
    <w:tmpl w:val="833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468E6"/>
    <w:multiLevelType w:val="multilevel"/>
    <w:tmpl w:val="0AF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386881">
    <w:abstractNumId w:val="11"/>
  </w:num>
  <w:num w:numId="2" w16cid:durableId="1085498564">
    <w:abstractNumId w:val="10"/>
  </w:num>
  <w:num w:numId="3" w16cid:durableId="762069036">
    <w:abstractNumId w:val="1"/>
  </w:num>
  <w:num w:numId="4" w16cid:durableId="988946235">
    <w:abstractNumId w:val="5"/>
  </w:num>
  <w:num w:numId="5" w16cid:durableId="883903869">
    <w:abstractNumId w:val="3"/>
  </w:num>
  <w:num w:numId="6" w16cid:durableId="22676864">
    <w:abstractNumId w:val="0"/>
  </w:num>
  <w:num w:numId="7" w16cid:durableId="699550439">
    <w:abstractNumId w:val="4"/>
  </w:num>
  <w:num w:numId="8" w16cid:durableId="271590142">
    <w:abstractNumId w:val="2"/>
  </w:num>
  <w:num w:numId="9" w16cid:durableId="875195848">
    <w:abstractNumId w:val="8"/>
  </w:num>
  <w:num w:numId="10" w16cid:durableId="1698266201">
    <w:abstractNumId w:val="9"/>
  </w:num>
  <w:num w:numId="11" w16cid:durableId="1900630216">
    <w:abstractNumId w:val="6"/>
  </w:num>
  <w:num w:numId="12" w16cid:durableId="172230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08"/>
    <w:rsid w:val="00021B14"/>
    <w:rsid w:val="000407C9"/>
    <w:rsid w:val="00064821"/>
    <w:rsid w:val="00075F30"/>
    <w:rsid w:val="000D5BCE"/>
    <w:rsid w:val="000F7FC9"/>
    <w:rsid w:val="00171E44"/>
    <w:rsid w:val="001874D8"/>
    <w:rsid w:val="001B7B1C"/>
    <w:rsid w:val="001E6F7C"/>
    <w:rsid w:val="00234341"/>
    <w:rsid w:val="0028030F"/>
    <w:rsid w:val="00283527"/>
    <w:rsid w:val="00287975"/>
    <w:rsid w:val="002B0C26"/>
    <w:rsid w:val="002F4445"/>
    <w:rsid w:val="00332FF0"/>
    <w:rsid w:val="00362762"/>
    <w:rsid w:val="003E2523"/>
    <w:rsid w:val="003F6EC1"/>
    <w:rsid w:val="0043610E"/>
    <w:rsid w:val="00467527"/>
    <w:rsid w:val="00491D50"/>
    <w:rsid w:val="004A3A5A"/>
    <w:rsid w:val="004B0124"/>
    <w:rsid w:val="004C7FF8"/>
    <w:rsid w:val="005227DD"/>
    <w:rsid w:val="00552E67"/>
    <w:rsid w:val="00555B0D"/>
    <w:rsid w:val="005744A7"/>
    <w:rsid w:val="005D4787"/>
    <w:rsid w:val="006124DE"/>
    <w:rsid w:val="006209B4"/>
    <w:rsid w:val="00632364"/>
    <w:rsid w:val="00633BC6"/>
    <w:rsid w:val="006401CD"/>
    <w:rsid w:val="0065638B"/>
    <w:rsid w:val="006A2A3B"/>
    <w:rsid w:val="006A2E55"/>
    <w:rsid w:val="006A4F39"/>
    <w:rsid w:val="006C1CFD"/>
    <w:rsid w:val="0071156C"/>
    <w:rsid w:val="00715F5C"/>
    <w:rsid w:val="00745108"/>
    <w:rsid w:val="00772D58"/>
    <w:rsid w:val="0079126F"/>
    <w:rsid w:val="007930EF"/>
    <w:rsid w:val="007D430E"/>
    <w:rsid w:val="007D43EB"/>
    <w:rsid w:val="007E6536"/>
    <w:rsid w:val="00817216"/>
    <w:rsid w:val="008249DA"/>
    <w:rsid w:val="00872DCB"/>
    <w:rsid w:val="008904D5"/>
    <w:rsid w:val="00893A86"/>
    <w:rsid w:val="00894E79"/>
    <w:rsid w:val="008A4F71"/>
    <w:rsid w:val="008E4C59"/>
    <w:rsid w:val="00903D28"/>
    <w:rsid w:val="00924239"/>
    <w:rsid w:val="0092512F"/>
    <w:rsid w:val="009327FB"/>
    <w:rsid w:val="00960833"/>
    <w:rsid w:val="009D629A"/>
    <w:rsid w:val="009F1644"/>
    <w:rsid w:val="00AE4E57"/>
    <w:rsid w:val="00B820A5"/>
    <w:rsid w:val="00B86B96"/>
    <w:rsid w:val="00C16283"/>
    <w:rsid w:val="00C2017E"/>
    <w:rsid w:val="00C243DA"/>
    <w:rsid w:val="00C433B6"/>
    <w:rsid w:val="00C45798"/>
    <w:rsid w:val="00D15F90"/>
    <w:rsid w:val="00D167BA"/>
    <w:rsid w:val="00D7243F"/>
    <w:rsid w:val="00DA222F"/>
    <w:rsid w:val="00DC4AE1"/>
    <w:rsid w:val="00DE615E"/>
    <w:rsid w:val="00E257F2"/>
    <w:rsid w:val="00E306D0"/>
    <w:rsid w:val="00E565B1"/>
    <w:rsid w:val="00E62CF7"/>
    <w:rsid w:val="00E82F62"/>
    <w:rsid w:val="00EA27DB"/>
    <w:rsid w:val="00EC7CBB"/>
    <w:rsid w:val="00F30DDD"/>
    <w:rsid w:val="00F32652"/>
    <w:rsid w:val="00F4034E"/>
    <w:rsid w:val="00F50563"/>
    <w:rsid w:val="00F52A6F"/>
    <w:rsid w:val="00F7147D"/>
    <w:rsid w:val="00F817E6"/>
    <w:rsid w:val="00F90A11"/>
    <w:rsid w:val="00FC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EB88"/>
  <w15:chartTrackingRefBased/>
  <w15:docId w15:val="{9C970C54-58AD-430E-8707-4638071D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108"/>
    <w:rPr>
      <w:rFonts w:eastAsiaTheme="majorEastAsia" w:cstheme="majorBidi"/>
      <w:color w:val="272727" w:themeColor="text1" w:themeTint="D8"/>
    </w:rPr>
  </w:style>
  <w:style w:type="paragraph" w:styleId="Title">
    <w:name w:val="Title"/>
    <w:basedOn w:val="Normal"/>
    <w:next w:val="Normal"/>
    <w:link w:val="TitleChar"/>
    <w:uiPriority w:val="10"/>
    <w:qFormat/>
    <w:rsid w:val="00745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108"/>
    <w:pPr>
      <w:spacing w:before="160"/>
      <w:jc w:val="center"/>
    </w:pPr>
    <w:rPr>
      <w:i/>
      <w:iCs/>
      <w:color w:val="404040" w:themeColor="text1" w:themeTint="BF"/>
    </w:rPr>
  </w:style>
  <w:style w:type="character" w:customStyle="1" w:styleId="QuoteChar">
    <w:name w:val="Quote Char"/>
    <w:basedOn w:val="DefaultParagraphFont"/>
    <w:link w:val="Quote"/>
    <w:uiPriority w:val="29"/>
    <w:rsid w:val="00745108"/>
    <w:rPr>
      <w:i/>
      <w:iCs/>
      <w:color w:val="404040" w:themeColor="text1" w:themeTint="BF"/>
    </w:rPr>
  </w:style>
  <w:style w:type="paragraph" w:styleId="ListParagraph">
    <w:name w:val="List Paragraph"/>
    <w:basedOn w:val="Normal"/>
    <w:uiPriority w:val="34"/>
    <w:qFormat/>
    <w:rsid w:val="00745108"/>
    <w:pPr>
      <w:ind w:left="720"/>
      <w:contextualSpacing/>
    </w:pPr>
  </w:style>
  <w:style w:type="character" w:styleId="IntenseEmphasis">
    <w:name w:val="Intense Emphasis"/>
    <w:basedOn w:val="DefaultParagraphFont"/>
    <w:uiPriority w:val="21"/>
    <w:qFormat/>
    <w:rsid w:val="00745108"/>
    <w:rPr>
      <w:i/>
      <w:iCs/>
      <w:color w:val="0F4761" w:themeColor="accent1" w:themeShade="BF"/>
    </w:rPr>
  </w:style>
  <w:style w:type="paragraph" w:styleId="IntenseQuote">
    <w:name w:val="Intense Quote"/>
    <w:basedOn w:val="Normal"/>
    <w:next w:val="Normal"/>
    <w:link w:val="IntenseQuoteChar"/>
    <w:uiPriority w:val="30"/>
    <w:qFormat/>
    <w:rsid w:val="00745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108"/>
    <w:rPr>
      <w:i/>
      <w:iCs/>
      <w:color w:val="0F4761" w:themeColor="accent1" w:themeShade="BF"/>
    </w:rPr>
  </w:style>
  <w:style w:type="character" w:styleId="IntenseReference">
    <w:name w:val="Intense Reference"/>
    <w:basedOn w:val="DefaultParagraphFont"/>
    <w:uiPriority w:val="32"/>
    <w:qFormat/>
    <w:rsid w:val="00745108"/>
    <w:rPr>
      <w:b/>
      <w:bCs/>
      <w:smallCaps/>
      <w:color w:val="0F4761" w:themeColor="accent1" w:themeShade="BF"/>
      <w:spacing w:val="5"/>
    </w:rPr>
  </w:style>
  <w:style w:type="table" w:styleId="TableGrid">
    <w:name w:val="Table Grid"/>
    <w:basedOn w:val="TableNormal"/>
    <w:uiPriority w:val="39"/>
    <w:rsid w:val="00E82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23062">
      <w:bodyDiv w:val="1"/>
      <w:marLeft w:val="0"/>
      <w:marRight w:val="0"/>
      <w:marTop w:val="0"/>
      <w:marBottom w:val="0"/>
      <w:divBdr>
        <w:top w:val="none" w:sz="0" w:space="0" w:color="auto"/>
        <w:left w:val="none" w:sz="0" w:space="0" w:color="auto"/>
        <w:bottom w:val="none" w:sz="0" w:space="0" w:color="auto"/>
        <w:right w:val="none" w:sz="0" w:space="0" w:color="auto"/>
      </w:divBdr>
    </w:div>
    <w:div w:id="925378719">
      <w:bodyDiv w:val="1"/>
      <w:marLeft w:val="0"/>
      <w:marRight w:val="0"/>
      <w:marTop w:val="0"/>
      <w:marBottom w:val="0"/>
      <w:divBdr>
        <w:top w:val="none" w:sz="0" w:space="0" w:color="auto"/>
        <w:left w:val="none" w:sz="0" w:space="0" w:color="auto"/>
        <w:bottom w:val="none" w:sz="0" w:space="0" w:color="auto"/>
        <w:right w:val="none" w:sz="0" w:space="0" w:color="auto"/>
      </w:divBdr>
    </w:div>
    <w:div w:id="1021972378">
      <w:bodyDiv w:val="1"/>
      <w:marLeft w:val="0"/>
      <w:marRight w:val="0"/>
      <w:marTop w:val="0"/>
      <w:marBottom w:val="0"/>
      <w:divBdr>
        <w:top w:val="none" w:sz="0" w:space="0" w:color="auto"/>
        <w:left w:val="none" w:sz="0" w:space="0" w:color="auto"/>
        <w:bottom w:val="none" w:sz="0" w:space="0" w:color="auto"/>
        <w:right w:val="none" w:sz="0" w:space="0" w:color="auto"/>
      </w:divBdr>
    </w:div>
    <w:div w:id="1065450802">
      <w:bodyDiv w:val="1"/>
      <w:marLeft w:val="0"/>
      <w:marRight w:val="0"/>
      <w:marTop w:val="0"/>
      <w:marBottom w:val="0"/>
      <w:divBdr>
        <w:top w:val="none" w:sz="0" w:space="0" w:color="auto"/>
        <w:left w:val="none" w:sz="0" w:space="0" w:color="auto"/>
        <w:bottom w:val="none" w:sz="0" w:space="0" w:color="auto"/>
        <w:right w:val="none" w:sz="0" w:space="0" w:color="auto"/>
      </w:divBdr>
    </w:div>
    <w:div w:id="1176382445">
      <w:bodyDiv w:val="1"/>
      <w:marLeft w:val="0"/>
      <w:marRight w:val="0"/>
      <w:marTop w:val="0"/>
      <w:marBottom w:val="0"/>
      <w:divBdr>
        <w:top w:val="none" w:sz="0" w:space="0" w:color="auto"/>
        <w:left w:val="none" w:sz="0" w:space="0" w:color="auto"/>
        <w:bottom w:val="none" w:sz="0" w:space="0" w:color="auto"/>
        <w:right w:val="none" w:sz="0" w:space="0" w:color="auto"/>
      </w:divBdr>
    </w:div>
    <w:div w:id="1257447239">
      <w:bodyDiv w:val="1"/>
      <w:marLeft w:val="0"/>
      <w:marRight w:val="0"/>
      <w:marTop w:val="0"/>
      <w:marBottom w:val="0"/>
      <w:divBdr>
        <w:top w:val="none" w:sz="0" w:space="0" w:color="auto"/>
        <w:left w:val="none" w:sz="0" w:space="0" w:color="auto"/>
        <w:bottom w:val="none" w:sz="0" w:space="0" w:color="auto"/>
        <w:right w:val="none" w:sz="0" w:space="0" w:color="auto"/>
      </w:divBdr>
    </w:div>
    <w:div w:id="1684820166">
      <w:bodyDiv w:val="1"/>
      <w:marLeft w:val="0"/>
      <w:marRight w:val="0"/>
      <w:marTop w:val="0"/>
      <w:marBottom w:val="0"/>
      <w:divBdr>
        <w:top w:val="none" w:sz="0" w:space="0" w:color="auto"/>
        <w:left w:val="none" w:sz="0" w:space="0" w:color="auto"/>
        <w:bottom w:val="none" w:sz="0" w:space="0" w:color="auto"/>
        <w:right w:val="none" w:sz="0" w:space="0" w:color="auto"/>
      </w:divBdr>
    </w:div>
    <w:div w:id="1843858303">
      <w:bodyDiv w:val="1"/>
      <w:marLeft w:val="0"/>
      <w:marRight w:val="0"/>
      <w:marTop w:val="0"/>
      <w:marBottom w:val="0"/>
      <w:divBdr>
        <w:top w:val="none" w:sz="0" w:space="0" w:color="auto"/>
        <w:left w:val="none" w:sz="0" w:space="0" w:color="auto"/>
        <w:bottom w:val="none" w:sz="0" w:space="0" w:color="auto"/>
        <w:right w:val="none" w:sz="0" w:space="0" w:color="auto"/>
      </w:divBdr>
    </w:div>
    <w:div w:id="20435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mpreethi%20Bokka\Downloads\Financial%20Accounting%20Preliminary%20Repor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profit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Ratios!$A$4</c:f>
              <c:strCache>
                <c:ptCount val="1"/>
                <c:pt idx="0">
                  <c:v>Chevon Corp</c:v>
                </c:pt>
              </c:strCache>
            </c:strRef>
          </c:tx>
          <c:spPr>
            <a:ln w="28575" cap="rnd">
              <a:solidFill>
                <a:schemeClr val="accent2"/>
              </a:solidFill>
              <a:round/>
            </a:ln>
            <a:effectLst/>
          </c:spPr>
          <c:marker>
            <c:symbol val="none"/>
          </c:marker>
          <c:cat>
            <c:strRef>
              <c:f>Ratios!$B$2:$D$3</c:f>
              <c:strCache>
                <c:ptCount val="3"/>
                <c:pt idx="0">
                  <c:v>2023</c:v>
                </c:pt>
                <c:pt idx="1">
                  <c:v>2022</c:v>
                </c:pt>
                <c:pt idx="2">
                  <c:v>2021</c:v>
                </c:pt>
              </c:strCache>
            </c:strRef>
          </c:cat>
          <c:val>
            <c:numRef>
              <c:f>Ratios!$B$4:$D$4</c:f>
              <c:numCache>
                <c:formatCode>0.0%</c:formatCode>
                <c:ptCount val="3"/>
                <c:pt idx="0">
                  <c:v>0.107</c:v>
                </c:pt>
                <c:pt idx="1">
                  <c:v>0.14499999999999999</c:v>
                </c:pt>
                <c:pt idx="2">
                  <c:v>9.7000000000000003E-2</c:v>
                </c:pt>
              </c:numCache>
            </c:numRef>
          </c:val>
          <c:smooth val="0"/>
          <c:extLst>
            <c:ext xmlns:c16="http://schemas.microsoft.com/office/drawing/2014/chart" uri="{C3380CC4-5D6E-409C-BE32-E72D297353CC}">
              <c16:uniqueId val="{00000000-E2FD-46B5-A04F-3F94AA672E0F}"/>
            </c:ext>
          </c:extLst>
        </c:ser>
        <c:ser>
          <c:idx val="1"/>
          <c:order val="1"/>
          <c:tx>
            <c:strRef>
              <c:f>Ratios!$A$5</c:f>
              <c:strCache>
                <c:ptCount val="1"/>
                <c:pt idx="0">
                  <c:v>Balchem</c:v>
                </c:pt>
              </c:strCache>
            </c:strRef>
          </c:tx>
          <c:spPr>
            <a:ln w="28575" cap="rnd">
              <a:solidFill>
                <a:schemeClr val="accent4"/>
              </a:solidFill>
              <a:round/>
            </a:ln>
            <a:effectLst/>
          </c:spPr>
          <c:marker>
            <c:symbol val="none"/>
          </c:marker>
          <c:cat>
            <c:strRef>
              <c:f>Ratios!$B$2:$D$3</c:f>
              <c:strCache>
                <c:ptCount val="3"/>
                <c:pt idx="0">
                  <c:v>2023</c:v>
                </c:pt>
                <c:pt idx="1">
                  <c:v>2022</c:v>
                </c:pt>
                <c:pt idx="2">
                  <c:v>2021</c:v>
                </c:pt>
              </c:strCache>
            </c:strRef>
          </c:cat>
          <c:val>
            <c:numRef>
              <c:f>Ratios!$B$5:$D$5</c:f>
              <c:numCache>
                <c:formatCode>0.00%</c:formatCode>
                <c:ptCount val="3"/>
                <c:pt idx="0">
                  <c:v>0.84499999999999997</c:v>
                </c:pt>
                <c:pt idx="1">
                  <c:v>0.85599999999999998</c:v>
                </c:pt>
                <c:pt idx="2">
                  <c:v>0.85499999999999998</c:v>
                </c:pt>
              </c:numCache>
            </c:numRef>
          </c:val>
          <c:smooth val="0"/>
          <c:extLst>
            <c:ext xmlns:c16="http://schemas.microsoft.com/office/drawing/2014/chart" uri="{C3380CC4-5D6E-409C-BE32-E72D297353CC}">
              <c16:uniqueId val="{00000001-E2FD-46B5-A04F-3F94AA672E0F}"/>
            </c:ext>
          </c:extLst>
        </c:ser>
        <c:ser>
          <c:idx val="2"/>
          <c:order val="2"/>
          <c:tx>
            <c:strRef>
              <c:f>Ratios!$A$6</c:f>
              <c:strCache>
                <c:ptCount val="1"/>
                <c:pt idx="0">
                  <c:v>Liquid Technologies</c:v>
                </c:pt>
              </c:strCache>
            </c:strRef>
          </c:tx>
          <c:spPr>
            <a:ln w="28575" cap="rnd">
              <a:solidFill>
                <a:schemeClr val="accent6"/>
              </a:solidFill>
              <a:round/>
            </a:ln>
            <a:effectLst/>
          </c:spPr>
          <c:marker>
            <c:symbol val="none"/>
          </c:marker>
          <c:cat>
            <c:strRef>
              <c:f>Ratios!$B$2:$D$3</c:f>
              <c:strCache>
                <c:ptCount val="3"/>
                <c:pt idx="0">
                  <c:v>2023</c:v>
                </c:pt>
                <c:pt idx="1">
                  <c:v>2022</c:v>
                </c:pt>
                <c:pt idx="2">
                  <c:v>2021</c:v>
                </c:pt>
              </c:strCache>
            </c:strRef>
          </c:cat>
          <c:val>
            <c:numRef>
              <c:f>Ratios!$B$6:$D$6</c:f>
              <c:numCache>
                <c:formatCode>0.00%</c:formatCode>
                <c:ptCount val="3"/>
                <c:pt idx="0">
                  <c:v>-4.016</c:v>
                </c:pt>
                <c:pt idx="1">
                  <c:v>-6.2510000000000003</c:v>
                </c:pt>
                <c:pt idx="2">
                  <c:v>-4.165</c:v>
                </c:pt>
              </c:numCache>
            </c:numRef>
          </c:val>
          <c:smooth val="0"/>
          <c:extLst>
            <c:ext xmlns:c16="http://schemas.microsoft.com/office/drawing/2014/chart" uri="{C3380CC4-5D6E-409C-BE32-E72D297353CC}">
              <c16:uniqueId val="{00000002-E2FD-46B5-A04F-3F94AA672E0F}"/>
            </c:ext>
          </c:extLst>
        </c:ser>
        <c:dLbls>
          <c:showLegendKey val="0"/>
          <c:showVal val="0"/>
          <c:showCatName val="0"/>
          <c:showSerName val="0"/>
          <c:showPercent val="0"/>
          <c:showBubbleSize val="0"/>
        </c:dLbls>
        <c:smooth val="0"/>
        <c:axId val="106583152"/>
        <c:axId val="106578352"/>
      </c:lineChart>
      <c:catAx>
        <c:axId val="10658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78352"/>
        <c:crosses val="autoZero"/>
        <c:auto val="1"/>
        <c:lblAlgn val="ctr"/>
        <c:lblOffset val="100"/>
        <c:noMultiLvlLbl val="0"/>
      </c:catAx>
      <c:valAx>
        <c:axId val="1065783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8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Ratios!$A$40</c:f>
              <c:strCache>
                <c:ptCount val="1"/>
                <c:pt idx="0">
                  <c:v>ROCE</c:v>
                </c:pt>
              </c:strCache>
            </c:strRef>
          </c:tx>
          <c:spPr>
            <a:solidFill>
              <a:schemeClr val="accent1"/>
            </a:solidFill>
            <a:ln>
              <a:noFill/>
            </a:ln>
            <a:effectLst/>
            <a:sp3d/>
          </c:spPr>
          <c:invertIfNegative val="0"/>
          <c:cat>
            <c:strRef>
              <c:f>Ratios!$B$39:$D$39</c:f>
              <c:strCache>
                <c:ptCount val="3"/>
                <c:pt idx="0">
                  <c:v>Chevon Corp</c:v>
                </c:pt>
                <c:pt idx="1">
                  <c:v>Balchem</c:v>
                </c:pt>
                <c:pt idx="2">
                  <c:v>Liquid Technologies</c:v>
                </c:pt>
              </c:strCache>
            </c:strRef>
          </c:cat>
          <c:val>
            <c:numRef>
              <c:f>Ratios!$B$40:$D$40</c:f>
              <c:numCache>
                <c:formatCode>0.0%</c:formatCode>
                <c:ptCount val="3"/>
                <c:pt idx="0" formatCode="0.00%">
                  <c:v>0.11899999999999999</c:v>
                </c:pt>
                <c:pt idx="1">
                  <c:v>9.5000000000000001E-2</c:v>
                </c:pt>
                <c:pt idx="2">
                  <c:v>-6.5000000000000002E-2</c:v>
                </c:pt>
              </c:numCache>
            </c:numRef>
          </c:val>
          <c:extLst>
            <c:ext xmlns:c16="http://schemas.microsoft.com/office/drawing/2014/chart" uri="{C3380CC4-5D6E-409C-BE32-E72D297353CC}">
              <c16:uniqueId val="{00000000-86B3-4A94-8A65-BE7F0B07FAD6}"/>
            </c:ext>
          </c:extLst>
        </c:ser>
        <c:dLbls>
          <c:showLegendKey val="0"/>
          <c:showVal val="0"/>
          <c:showCatName val="0"/>
          <c:showSerName val="0"/>
          <c:showPercent val="0"/>
          <c:showBubbleSize val="0"/>
        </c:dLbls>
        <c:gapWidth val="150"/>
        <c:shape val="box"/>
        <c:axId val="61849760"/>
        <c:axId val="61849280"/>
        <c:axId val="0"/>
      </c:bar3DChart>
      <c:catAx>
        <c:axId val="61849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9280"/>
        <c:crosses val="autoZero"/>
        <c:auto val="1"/>
        <c:lblAlgn val="ctr"/>
        <c:lblOffset val="100"/>
        <c:noMultiLvlLbl val="0"/>
      </c:catAx>
      <c:valAx>
        <c:axId val="618492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Interest Coverage Ratio</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Ratios!$A$43</c:f>
              <c:strCache>
                <c:ptCount val="1"/>
                <c:pt idx="0">
                  <c:v>EBIT</c:v>
                </c:pt>
              </c:strCache>
            </c:strRef>
          </c:tx>
          <c:spPr>
            <a:solidFill>
              <a:schemeClr val="accent1"/>
            </a:solidFill>
            <a:ln>
              <a:noFill/>
            </a:ln>
            <a:effectLst/>
            <a:sp3d/>
          </c:spPr>
          <c:invertIfNegative val="0"/>
          <c:cat>
            <c:strRef>
              <c:f>Ratios!$B$42:$D$42</c:f>
              <c:strCache>
                <c:ptCount val="3"/>
                <c:pt idx="0">
                  <c:v>Chevon Corp</c:v>
                </c:pt>
                <c:pt idx="1">
                  <c:v>Balchem</c:v>
                </c:pt>
                <c:pt idx="2">
                  <c:v>Liquid Technologies</c:v>
                </c:pt>
              </c:strCache>
            </c:strRef>
          </c:cat>
          <c:val>
            <c:numRef>
              <c:f>Ratios!$B$43:$D$43</c:f>
              <c:numCache>
                <c:formatCode>_("$"* #,##0.00_);_("$"* \(#,##0.00\);_("$"* "-"??_);_(@_)</c:formatCode>
                <c:ptCount val="3"/>
                <c:pt idx="0">
                  <c:v>30234</c:v>
                </c:pt>
                <c:pt idx="1">
                  <c:v>137261</c:v>
                </c:pt>
                <c:pt idx="2">
                  <c:v>-2048</c:v>
                </c:pt>
              </c:numCache>
            </c:numRef>
          </c:val>
          <c:extLst>
            <c:ext xmlns:c16="http://schemas.microsoft.com/office/drawing/2014/chart" uri="{C3380CC4-5D6E-409C-BE32-E72D297353CC}">
              <c16:uniqueId val="{00000000-E3C9-41BB-9255-88B4FF4935E5}"/>
            </c:ext>
          </c:extLst>
        </c:ser>
        <c:ser>
          <c:idx val="1"/>
          <c:order val="1"/>
          <c:tx>
            <c:strRef>
              <c:f>Ratios!$A$44</c:f>
              <c:strCache>
                <c:ptCount val="1"/>
                <c:pt idx="0">
                  <c:v>Interest </c:v>
                </c:pt>
              </c:strCache>
            </c:strRef>
          </c:tx>
          <c:spPr>
            <a:solidFill>
              <a:schemeClr val="accent2"/>
            </a:solidFill>
            <a:ln>
              <a:noFill/>
            </a:ln>
            <a:effectLst/>
            <a:sp3d/>
          </c:spPr>
          <c:invertIfNegative val="0"/>
          <c:cat>
            <c:strRef>
              <c:f>Ratios!$B$42:$D$42</c:f>
              <c:strCache>
                <c:ptCount val="3"/>
                <c:pt idx="0">
                  <c:v>Chevon Corp</c:v>
                </c:pt>
                <c:pt idx="1">
                  <c:v>Balchem</c:v>
                </c:pt>
                <c:pt idx="2">
                  <c:v>Liquid Technologies</c:v>
                </c:pt>
              </c:strCache>
            </c:strRef>
          </c:cat>
          <c:val>
            <c:numRef>
              <c:f>Ratios!$B$44:$D$44</c:f>
              <c:numCache>
                <c:formatCode>General</c:formatCode>
                <c:ptCount val="3"/>
                <c:pt idx="0">
                  <c:v>469</c:v>
                </c:pt>
                <c:pt idx="1">
                  <c:v>22613</c:v>
                </c:pt>
                <c:pt idx="2">
                  <c:v>0</c:v>
                </c:pt>
              </c:numCache>
            </c:numRef>
          </c:val>
          <c:extLst>
            <c:ext xmlns:c16="http://schemas.microsoft.com/office/drawing/2014/chart" uri="{C3380CC4-5D6E-409C-BE32-E72D297353CC}">
              <c16:uniqueId val="{00000001-E3C9-41BB-9255-88B4FF4935E5}"/>
            </c:ext>
          </c:extLst>
        </c:ser>
        <c:dLbls>
          <c:showLegendKey val="0"/>
          <c:showVal val="0"/>
          <c:showCatName val="0"/>
          <c:showSerName val="0"/>
          <c:showPercent val="0"/>
          <c:showBubbleSize val="0"/>
        </c:dLbls>
        <c:gapWidth val="150"/>
        <c:shape val="box"/>
        <c:axId val="1857614623"/>
        <c:axId val="1857615583"/>
        <c:axId val="0"/>
      </c:bar3DChart>
      <c:catAx>
        <c:axId val="18576146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615583"/>
        <c:crosses val="autoZero"/>
        <c:auto val="1"/>
        <c:lblAlgn val="ctr"/>
        <c:lblOffset val="100"/>
        <c:noMultiLvlLbl val="0"/>
      </c:catAx>
      <c:valAx>
        <c:axId val="1857615583"/>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614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Debt to Equity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Ratios!$A$47</c:f>
              <c:strCache>
                <c:ptCount val="1"/>
                <c:pt idx="0">
                  <c:v>Debt </c:v>
                </c:pt>
              </c:strCache>
            </c:strRef>
          </c:tx>
          <c:spPr>
            <a:solidFill>
              <a:schemeClr val="accent1"/>
            </a:solidFill>
            <a:ln>
              <a:noFill/>
            </a:ln>
            <a:effectLst/>
            <a:sp3d/>
          </c:spPr>
          <c:invertIfNegative val="0"/>
          <c:cat>
            <c:strRef>
              <c:f>Ratios!$B$46:$D$46</c:f>
              <c:strCache>
                <c:ptCount val="3"/>
                <c:pt idx="0">
                  <c:v>Chevon Corp</c:v>
                </c:pt>
                <c:pt idx="1">
                  <c:v>Balchem</c:v>
                </c:pt>
                <c:pt idx="2">
                  <c:v>Liquid Technologies</c:v>
                </c:pt>
              </c:strCache>
            </c:strRef>
          </c:cat>
          <c:val>
            <c:numRef>
              <c:f>Ratios!$B$47:$D$47</c:f>
              <c:numCache>
                <c:formatCode>_("$"* #,##0.00_);_("$"* \(#,##0.00\);_("$"* "-"??_);_(@_)</c:formatCode>
                <c:ptCount val="3"/>
                <c:pt idx="0" formatCode="_(&quot;$&quot;* #,##0_);_(&quot;$&quot;* \(#,##0\);_(&quot;$&quot;* &quot;-&quot;??_);_(@_)">
                  <c:v>20836</c:v>
                </c:pt>
                <c:pt idx="1">
                  <c:v>137261</c:v>
                </c:pt>
                <c:pt idx="2">
                  <c:v>0</c:v>
                </c:pt>
              </c:numCache>
            </c:numRef>
          </c:val>
          <c:extLst>
            <c:ext xmlns:c16="http://schemas.microsoft.com/office/drawing/2014/chart" uri="{C3380CC4-5D6E-409C-BE32-E72D297353CC}">
              <c16:uniqueId val="{00000000-6982-49B9-8891-4698CAC8C062}"/>
            </c:ext>
          </c:extLst>
        </c:ser>
        <c:ser>
          <c:idx val="1"/>
          <c:order val="1"/>
          <c:tx>
            <c:strRef>
              <c:f>Ratios!$A$48</c:f>
              <c:strCache>
                <c:ptCount val="1"/>
                <c:pt idx="0">
                  <c:v>Equity</c:v>
                </c:pt>
              </c:strCache>
            </c:strRef>
          </c:tx>
          <c:spPr>
            <a:solidFill>
              <a:schemeClr val="accent2"/>
            </a:solidFill>
            <a:ln>
              <a:noFill/>
            </a:ln>
            <a:effectLst/>
            <a:sp3d/>
          </c:spPr>
          <c:invertIfNegative val="0"/>
          <c:cat>
            <c:strRef>
              <c:f>Ratios!$B$46:$D$46</c:f>
              <c:strCache>
                <c:ptCount val="3"/>
                <c:pt idx="0">
                  <c:v>Chevon Corp</c:v>
                </c:pt>
                <c:pt idx="1">
                  <c:v>Balchem</c:v>
                </c:pt>
                <c:pt idx="2">
                  <c:v>Liquid Technologies</c:v>
                </c:pt>
              </c:strCache>
            </c:strRef>
          </c:cat>
          <c:val>
            <c:numRef>
              <c:f>Ratios!$B$48:$D$48</c:f>
              <c:numCache>
                <c:formatCode>_("$"* #,##0_);_("$"* \(#,##0\);_("$"* "-"??_);_(@_)</c:formatCode>
                <c:ptCount val="3"/>
                <c:pt idx="0">
                  <c:v>161929</c:v>
                </c:pt>
                <c:pt idx="1">
                  <c:v>1053984</c:v>
                </c:pt>
                <c:pt idx="2" formatCode="_(&quot;$&quot;* #,##0.00_);_(&quot;$&quot;* \(#,##0.00\);_(&quot;$&quot;* &quot;-&quot;??_);_(@_)">
                  <c:v>30590</c:v>
                </c:pt>
              </c:numCache>
            </c:numRef>
          </c:val>
          <c:extLst>
            <c:ext xmlns:c16="http://schemas.microsoft.com/office/drawing/2014/chart" uri="{C3380CC4-5D6E-409C-BE32-E72D297353CC}">
              <c16:uniqueId val="{00000001-6982-49B9-8891-4698CAC8C062}"/>
            </c:ext>
          </c:extLst>
        </c:ser>
        <c:dLbls>
          <c:showLegendKey val="0"/>
          <c:showVal val="0"/>
          <c:showCatName val="0"/>
          <c:showSerName val="0"/>
          <c:showPercent val="0"/>
          <c:showBubbleSize val="0"/>
        </c:dLbls>
        <c:gapWidth val="150"/>
        <c:shape val="box"/>
        <c:axId val="833385248"/>
        <c:axId val="833386208"/>
        <c:axId val="0"/>
      </c:bar3DChart>
      <c:catAx>
        <c:axId val="833385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86208"/>
        <c:crosses val="autoZero"/>
        <c:auto val="1"/>
        <c:lblAlgn val="ctr"/>
        <c:lblOffset val="100"/>
        <c:noMultiLvlLbl val="0"/>
      </c:catAx>
      <c:valAx>
        <c:axId val="833386208"/>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8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Liquidity</a:t>
            </a:r>
            <a:r>
              <a:rPr lang="en-US" baseline="0"/>
              <a:t> Risk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Ratios!$A$51</c:f>
              <c:strCache>
                <c:ptCount val="1"/>
                <c:pt idx="0">
                  <c:v>Current Ratio</c:v>
                </c:pt>
              </c:strCache>
            </c:strRef>
          </c:tx>
          <c:spPr>
            <a:solidFill>
              <a:schemeClr val="accent1"/>
            </a:solidFill>
            <a:ln>
              <a:noFill/>
            </a:ln>
            <a:effectLst/>
            <a:sp3d/>
          </c:spPr>
          <c:invertIfNegative val="0"/>
          <c:cat>
            <c:numRef>
              <c:f>Ratios!$B$50:$E$50</c:f>
              <c:numCache>
                <c:formatCode>0</c:formatCode>
                <c:ptCount val="4"/>
                <c:pt idx="0" formatCode="General">
                  <c:v>2023</c:v>
                </c:pt>
                <c:pt idx="1">
                  <c:v>2022</c:v>
                </c:pt>
                <c:pt idx="2">
                  <c:v>2021</c:v>
                </c:pt>
                <c:pt idx="3" formatCode="General">
                  <c:v>2020</c:v>
                </c:pt>
              </c:numCache>
            </c:numRef>
          </c:cat>
          <c:val>
            <c:numRef>
              <c:f>Ratios!$B$51:$E$51</c:f>
              <c:numCache>
                <c:formatCode>0.00</c:formatCode>
                <c:ptCount val="4"/>
                <c:pt idx="0">
                  <c:v>2.1</c:v>
                </c:pt>
                <c:pt idx="1">
                  <c:v>2.4</c:v>
                </c:pt>
                <c:pt idx="2">
                  <c:v>2.2000000000000002</c:v>
                </c:pt>
                <c:pt idx="3" formatCode="General">
                  <c:v>2.8</c:v>
                </c:pt>
              </c:numCache>
            </c:numRef>
          </c:val>
          <c:extLst>
            <c:ext xmlns:c16="http://schemas.microsoft.com/office/drawing/2014/chart" uri="{C3380CC4-5D6E-409C-BE32-E72D297353CC}">
              <c16:uniqueId val="{00000000-455A-4FDC-B5AF-37FF64AFDD1F}"/>
            </c:ext>
          </c:extLst>
        </c:ser>
        <c:ser>
          <c:idx val="1"/>
          <c:order val="1"/>
          <c:tx>
            <c:strRef>
              <c:f>Ratios!$A$52</c:f>
              <c:strCache>
                <c:ptCount val="1"/>
                <c:pt idx="0">
                  <c:v>Quick Ratio</c:v>
                </c:pt>
              </c:strCache>
            </c:strRef>
          </c:tx>
          <c:spPr>
            <a:solidFill>
              <a:schemeClr val="accent2"/>
            </a:solidFill>
            <a:ln>
              <a:noFill/>
            </a:ln>
            <a:effectLst/>
            <a:sp3d/>
          </c:spPr>
          <c:invertIfNegative val="0"/>
          <c:cat>
            <c:numRef>
              <c:f>Ratios!$B$50:$E$50</c:f>
              <c:numCache>
                <c:formatCode>0</c:formatCode>
                <c:ptCount val="4"/>
                <c:pt idx="0" formatCode="General">
                  <c:v>2023</c:v>
                </c:pt>
                <c:pt idx="1">
                  <c:v>2022</c:v>
                </c:pt>
                <c:pt idx="2">
                  <c:v>2021</c:v>
                </c:pt>
                <c:pt idx="3" formatCode="General">
                  <c:v>2020</c:v>
                </c:pt>
              </c:numCache>
            </c:numRef>
          </c:cat>
          <c:val>
            <c:numRef>
              <c:f>Ratios!$B$52:$E$52</c:f>
              <c:numCache>
                <c:formatCode>0.00</c:formatCode>
                <c:ptCount val="4"/>
                <c:pt idx="0">
                  <c:v>1.38</c:v>
                </c:pt>
                <c:pt idx="1">
                  <c:v>1.54</c:v>
                </c:pt>
                <c:pt idx="2">
                  <c:v>1.61</c:v>
                </c:pt>
                <c:pt idx="3">
                  <c:v>2.08</c:v>
                </c:pt>
              </c:numCache>
            </c:numRef>
          </c:val>
          <c:extLst>
            <c:ext xmlns:c16="http://schemas.microsoft.com/office/drawing/2014/chart" uri="{C3380CC4-5D6E-409C-BE32-E72D297353CC}">
              <c16:uniqueId val="{00000001-455A-4FDC-B5AF-37FF64AFDD1F}"/>
            </c:ext>
          </c:extLst>
        </c:ser>
        <c:dLbls>
          <c:showLegendKey val="0"/>
          <c:showVal val="0"/>
          <c:showCatName val="0"/>
          <c:showSerName val="0"/>
          <c:showPercent val="0"/>
          <c:showBubbleSize val="0"/>
        </c:dLbls>
        <c:gapWidth val="150"/>
        <c:shape val="box"/>
        <c:axId val="61818912"/>
        <c:axId val="61820352"/>
        <c:axId val="0"/>
      </c:bar3DChart>
      <c:catAx>
        <c:axId val="61818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0352"/>
        <c:crosses val="autoZero"/>
        <c:auto val="1"/>
        <c:lblAlgn val="ctr"/>
        <c:lblOffset val="100"/>
        <c:noMultiLvlLbl val="0"/>
      </c:catAx>
      <c:valAx>
        <c:axId val="61820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Ratios!$A$55</c:f>
              <c:strCache>
                <c:ptCount val="1"/>
                <c:pt idx="0">
                  <c:v>PE Ratio</c:v>
                </c:pt>
              </c:strCache>
            </c:strRef>
          </c:tx>
          <c:spPr>
            <a:solidFill>
              <a:schemeClr val="accent2"/>
            </a:solidFill>
            <a:ln>
              <a:noFill/>
            </a:ln>
            <a:effectLst/>
            <a:sp3d/>
          </c:spPr>
          <c:invertIfNegative val="0"/>
          <c:cat>
            <c:strRef>
              <c:f>Ratios!$B$54:$D$54</c:f>
              <c:strCache>
                <c:ptCount val="3"/>
                <c:pt idx="0">
                  <c:v>Chevon Corp</c:v>
                </c:pt>
                <c:pt idx="1">
                  <c:v>Balchem</c:v>
                </c:pt>
                <c:pt idx="2">
                  <c:v>Liquid Technologies</c:v>
                </c:pt>
              </c:strCache>
            </c:strRef>
          </c:cat>
          <c:val>
            <c:numRef>
              <c:f>Ratios!$B$55:$D$55</c:f>
              <c:numCache>
                <c:formatCode>General</c:formatCode>
                <c:ptCount val="3"/>
                <c:pt idx="0">
                  <c:v>15.32</c:v>
                </c:pt>
                <c:pt idx="1">
                  <c:v>44.4</c:v>
                </c:pt>
                <c:pt idx="2">
                  <c:v>35.75</c:v>
                </c:pt>
              </c:numCache>
            </c:numRef>
          </c:val>
          <c:extLst>
            <c:ext xmlns:c16="http://schemas.microsoft.com/office/drawing/2014/chart" uri="{C3380CC4-5D6E-409C-BE32-E72D297353CC}">
              <c16:uniqueId val="{00000000-6DBA-450C-AC40-6BE3186178C6}"/>
            </c:ext>
          </c:extLst>
        </c:ser>
        <c:dLbls>
          <c:showLegendKey val="0"/>
          <c:showVal val="0"/>
          <c:showCatName val="0"/>
          <c:showSerName val="0"/>
          <c:showPercent val="0"/>
          <c:showBubbleSize val="0"/>
        </c:dLbls>
        <c:gapWidth val="150"/>
        <c:shape val="box"/>
        <c:axId val="61849280"/>
        <c:axId val="1913741471"/>
        <c:axId val="0"/>
      </c:bar3DChart>
      <c:catAx>
        <c:axId val="61849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741471"/>
        <c:crosses val="autoZero"/>
        <c:auto val="1"/>
        <c:lblAlgn val="ctr"/>
        <c:lblOffset val="100"/>
        <c:noMultiLvlLbl val="0"/>
      </c:catAx>
      <c:valAx>
        <c:axId val="191374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 Profit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Ratios!$A$10</c:f>
              <c:strCache>
                <c:ptCount val="1"/>
                <c:pt idx="0">
                  <c:v>Chevon Corp</c:v>
                </c:pt>
              </c:strCache>
            </c:strRef>
          </c:tx>
          <c:spPr>
            <a:ln w="28575" cap="rnd">
              <a:solidFill>
                <a:schemeClr val="accent6"/>
              </a:solidFill>
              <a:round/>
            </a:ln>
            <a:effectLst/>
          </c:spPr>
          <c:marker>
            <c:symbol val="none"/>
          </c:marker>
          <c:cat>
            <c:strRef>
              <c:f>Ratios!$B$8:$D$9</c:f>
              <c:strCache>
                <c:ptCount val="3"/>
                <c:pt idx="0">
                  <c:v>2023</c:v>
                </c:pt>
                <c:pt idx="1">
                  <c:v>2022</c:v>
                </c:pt>
                <c:pt idx="2">
                  <c:v>2021</c:v>
                </c:pt>
              </c:strCache>
            </c:strRef>
          </c:cat>
          <c:val>
            <c:numRef>
              <c:f>Ratios!$B$10:$D$10</c:f>
              <c:numCache>
                <c:formatCode>0.0%</c:formatCode>
                <c:ptCount val="3"/>
                <c:pt idx="0">
                  <c:v>0.28299999999999997</c:v>
                </c:pt>
                <c:pt idx="1">
                  <c:v>0.309</c:v>
                </c:pt>
                <c:pt idx="2">
                  <c:v>0.30499999999999999</c:v>
                </c:pt>
              </c:numCache>
            </c:numRef>
          </c:val>
          <c:smooth val="0"/>
          <c:extLst>
            <c:ext xmlns:c16="http://schemas.microsoft.com/office/drawing/2014/chart" uri="{C3380CC4-5D6E-409C-BE32-E72D297353CC}">
              <c16:uniqueId val="{00000000-EC7F-4992-8AE5-CB5CFB250B8F}"/>
            </c:ext>
          </c:extLst>
        </c:ser>
        <c:ser>
          <c:idx val="1"/>
          <c:order val="1"/>
          <c:tx>
            <c:strRef>
              <c:f>Ratios!$A$11</c:f>
              <c:strCache>
                <c:ptCount val="1"/>
                <c:pt idx="0">
                  <c:v>Balchem</c:v>
                </c:pt>
              </c:strCache>
            </c:strRef>
          </c:tx>
          <c:spPr>
            <a:ln w="28575" cap="rnd">
              <a:solidFill>
                <a:schemeClr val="accent5"/>
              </a:solidFill>
              <a:round/>
            </a:ln>
            <a:effectLst/>
          </c:spPr>
          <c:marker>
            <c:symbol val="none"/>
          </c:marker>
          <c:cat>
            <c:strRef>
              <c:f>Ratios!$B$8:$D$9</c:f>
              <c:strCache>
                <c:ptCount val="3"/>
                <c:pt idx="0">
                  <c:v>2023</c:v>
                </c:pt>
                <c:pt idx="1">
                  <c:v>2022</c:v>
                </c:pt>
                <c:pt idx="2">
                  <c:v>2021</c:v>
                </c:pt>
              </c:strCache>
            </c:strRef>
          </c:cat>
          <c:val>
            <c:numRef>
              <c:f>Ratios!$B$11:$D$11</c:f>
              <c:numCache>
                <c:formatCode>0.00%</c:formatCode>
                <c:ptCount val="3"/>
                <c:pt idx="0">
                  <c:v>0.32700000000000001</c:v>
                </c:pt>
                <c:pt idx="1">
                  <c:v>0.29799999999999999</c:v>
                </c:pt>
                <c:pt idx="2">
                  <c:v>0.30399999999999999</c:v>
                </c:pt>
              </c:numCache>
            </c:numRef>
          </c:val>
          <c:smooth val="0"/>
          <c:extLst>
            <c:ext xmlns:c16="http://schemas.microsoft.com/office/drawing/2014/chart" uri="{C3380CC4-5D6E-409C-BE32-E72D297353CC}">
              <c16:uniqueId val="{00000001-EC7F-4992-8AE5-CB5CFB250B8F}"/>
            </c:ext>
          </c:extLst>
        </c:ser>
        <c:ser>
          <c:idx val="2"/>
          <c:order val="2"/>
          <c:tx>
            <c:strRef>
              <c:f>Ratios!$A$12</c:f>
              <c:strCache>
                <c:ptCount val="1"/>
                <c:pt idx="0">
                  <c:v>Liquid Technologies</c:v>
                </c:pt>
              </c:strCache>
            </c:strRef>
          </c:tx>
          <c:spPr>
            <a:ln w="28575" cap="rnd">
              <a:solidFill>
                <a:schemeClr val="accent4"/>
              </a:solidFill>
              <a:round/>
            </a:ln>
            <a:effectLst/>
          </c:spPr>
          <c:marker>
            <c:symbol val="none"/>
          </c:marker>
          <c:cat>
            <c:strRef>
              <c:f>Ratios!$B$8:$D$9</c:f>
              <c:strCache>
                <c:ptCount val="3"/>
                <c:pt idx="0">
                  <c:v>2023</c:v>
                </c:pt>
                <c:pt idx="1">
                  <c:v>2022</c:v>
                </c:pt>
                <c:pt idx="2">
                  <c:v>2021</c:v>
                </c:pt>
              </c:strCache>
            </c:strRef>
          </c:cat>
          <c:val>
            <c:numRef>
              <c:f>Ratios!$B$12:$D$12</c:f>
              <c:numCache>
                <c:formatCode>0.00%</c:formatCode>
                <c:ptCount val="3"/>
                <c:pt idx="0">
                  <c:v>0.29199999999999998</c:v>
                </c:pt>
                <c:pt idx="1">
                  <c:v>0.17499999999999999</c:v>
                </c:pt>
                <c:pt idx="2">
                  <c:v>0.22600000000000001</c:v>
                </c:pt>
              </c:numCache>
            </c:numRef>
          </c:val>
          <c:smooth val="0"/>
          <c:extLst>
            <c:ext xmlns:c16="http://schemas.microsoft.com/office/drawing/2014/chart" uri="{C3380CC4-5D6E-409C-BE32-E72D297353CC}">
              <c16:uniqueId val="{00000002-EC7F-4992-8AE5-CB5CFB250B8F}"/>
            </c:ext>
          </c:extLst>
        </c:ser>
        <c:dLbls>
          <c:showLegendKey val="0"/>
          <c:showVal val="0"/>
          <c:showCatName val="0"/>
          <c:showSerName val="0"/>
          <c:showPercent val="0"/>
          <c:showBubbleSize val="0"/>
        </c:dLbls>
        <c:smooth val="0"/>
        <c:axId val="1920256479"/>
        <c:axId val="1920257919"/>
      </c:lineChart>
      <c:catAx>
        <c:axId val="1920256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257919"/>
        <c:crosses val="autoZero"/>
        <c:auto val="1"/>
        <c:lblAlgn val="ctr"/>
        <c:lblOffset val="100"/>
        <c:noMultiLvlLbl val="0"/>
      </c:catAx>
      <c:valAx>
        <c:axId val="192025791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25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profit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Ratios!$A$4</c:f>
              <c:strCache>
                <c:ptCount val="1"/>
                <c:pt idx="0">
                  <c:v>Chevon Corp</c:v>
                </c:pt>
              </c:strCache>
            </c:strRef>
          </c:tx>
          <c:spPr>
            <a:ln w="28575" cap="rnd">
              <a:solidFill>
                <a:schemeClr val="accent2"/>
              </a:solidFill>
              <a:round/>
            </a:ln>
            <a:effectLst/>
          </c:spPr>
          <c:marker>
            <c:symbol val="none"/>
          </c:marker>
          <c:cat>
            <c:strRef>
              <c:f>Ratios!$B$2:$D$3</c:f>
              <c:strCache>
                <c:ptCount val="3"/>
                <c:pt idx="0">
                  <c:v>2023</c:v>
                </c:pt>
                <c:pt idx="1">
                  <c:v>2022</c:v>
                </c:pt>
                <c:pt idx="2">
                  <c:v>2021</c:v>
                </c:pt>
              </c:strCache>
            </c:strRef>
          </c:cat>
          <c:val>
            <c:numRef>
              <c:f>Ratios!$B$4:$D$4</c:f>
              <c:numCache>
                <c:formatCode>0.0%</c:formatCode>
                <c:ptCount val="3"/>
                <c:pt idx="0">
                  <c:v>0.107</c:v>
                </c:pt>
                <c:pt idx="1">
                  <c:v>0.14499999999999999</c:v>
                </c:pt>
                <c:pt idx="2">
                  <c:v>9.7000000000000003E-2</c:v>
                </c:pt>
              </c:numCache>
            </c:numRef>
          </c:val>
          <c:smooth val="0"/>
          <c:extLst>
            <c:ext xmlns:c16="http://schemas.microsoft.com/office/drawing/2014/chart" uri="{C3380CC4-5D6E-409C-BE32-E72D297353CC}">
              <c16:uniqueId val="{00000000-D9B4-48A6-9C49-6A3895AAE92E}"/>
            </c:ext>
          </c:extLst>
        </c:ser>
        <c:ser>
          <c:idx val="1"/>
          <c:order val="1"/>
          <c:tx>
            <c:strRef>
              <c:f>Ratios!$A$5</c:f>
              <c:strCache>
                <c:ptCount val="1"/>
                <c:pt idx="0">
                  <c:v>Balchem</c:v>
                </c:pt>
              </c:strCache>
            </c:strRef>
          </c:tx>
          <c:spPr>
            <a:ln w="28575" cap="rnd">
              <a:solidFill>
                <a:schemeClr val="accent4"/>
              </a:solidFill>
              <a:round/>
            </a:ln>
            <a:effectLst/>
          </c:spPr>
          <c:marker>
            <c:symbol val="none"/>
          </c:marker>
          <c:cat>
            <c:strRef>
              <c:f>Ratios!$B$2:$D$3</c:f>
              <c:strCache>
                <c:ptCount val="3"/>
                <c:pt idx="0">
                  <c:v>2023</c:v>
                </c:pt>
                <c:pt idx="1">
                  <c:v>2022</c:v>
                </c:pt>
                <c:pt idx="2">
                  <c:v>2021</c:v>
                </c:pt>
              </c:strCache>
            </c:strRef>
          </c:cat>
          <c:val>
            <c:numRef>
              <c:f>Ratios!$B$5:$D$5</c:f>
              <c:numCache>
                <c:formatCode>0.00%</c:formatCode>
                <c:ptCount val="3"/>
                <c:pt idx="0">
                  <c:v>0.84499999999999997</c:v>
                </c:pt>
                <c:pt idx="1">
                  <c:v>0.85599999999999998</c:v>
                </c:pt>
                <c:pt idx="2">
                  <c:v>0.85499999999999998</c:v>
                </c:pt>
              </c:numCache>
            </c:numRef>
          </c:val>
          <c:smooth val="0"/>
          <c:extLst>
            <c:ext xmlns:c16="http://schemas.microsoft.com/office/drawing/2014/chart" uri="{C3380CC4-5D6E-409C-BE32-E72D297353CC}">
              <c16:uniqueId val="{00000001-D9B4-48A6-9C49-6A3895AAE92E}"/>
            </c:ext>
          </c:extLst>
        </c:ser>
        <c:ser>
          <c:idx val="2"/>
          <c:order val="2"/>
          <c:tx>
            <c:strRef>
              <c:f>Ratios!$A$6</c:f>
              <c:strCache>
                <c:ptCount val="1"/>
                <c:pt idx="0">
                  <c:v>Liquid Technologies</c:v>
                </c:pt>
              </c:strCache>
            </c:strRef>
          </c:tx>
          <c:spPr>
            <a:ln w="28575" cap="rnd">
              <a:solidFill>
                <a:schemeClr val="accent6"/>
              </a:solidFill>
              <a:round/>
            </a:ln>
            <a:effectLst/>
          </c:spPr>
          <c:marker>
            <c:symbol val="none"/>
          </c:marker>
          <c:cat>
            <c:strRef>
              <c:f>Ratios!$B$2:$D$3</c:f>
              <c:strCache>
                <c:ptCount val="3"/>
                <c:pt idx="0">
                  <c:v>2023</c:v>
                </c:pt>
                <c:pt idx="1">
                  <c:v>2022</c:v>
                </c:pt>
                <c:pt idx="2">
                  <c:v>2021</c:v>
                </c:pt>
              </c:strCache>
            </c:strRef>
          </c:cat>
          <c:val>
            <c:numRef>
              <c:f>Ratios!$B$6:$D$6</c:f>
              <c:numCache>
                <c:formatCode>0.00%</c:formatCode>
                <c:ptCount val="3"/>
                <c:pt idx="0">
                  <c:v>-4.016</c:v>
                </c:pt>
                <c:pt idx="1">
                  <c:v>-6.2510000000000003</c:v>
                </c:pt>
                <c:pt idx="2">
                  <c:v>-4.165</c:v>
                </c:pt>
              </c:numCache>
            </c:numRef>
          </c:val>
          <c:smooth val="0"/>
          <c:extLst>
            <c:ext xmlns:c16="http://schemas.microsoft.com/office/drawing/2014/chart" uri="{C3380CC4-5D6E-409C-BE32-E72D297353CC}">
              <c16:uniqueId val="{00000002-D9B4-48A6-9C49-6A3895AAE92E}"/>
            </c:ext>
          </c:extLst>
        </c:ser>
        <c:dLbls>
          <c:showLegendKey val="0"/>
          <c:showVal val="0"/>
          <c:showCatName val="0"/>
          <c:showSerName val="0"/>
          <c:showPercent val="0"/>
          <c:showBubbleSize val="0"/>
        </c:dLbls>
        <c:smooth val="0"/>
        <c:axId val="106583152"/>
        <c:axId val="106578352"/>
      </c:lineChart>
      <c:catAx>
        <c:axId val="10658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78352"/>
        <c:crosses val="autoZero"/>
        <c:auto val="1"/>
        <c:lblAlgn val="ctr"/>
        <c:lblOffset val="100"/>
        <c:noMultiLvlLbl val="0"/>
      </c:catAx>
      <c:valAx>
        <c:axId val="10657835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8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 on Average Capital Employed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Ratios!$A$16</c:f>
              <c:strCache>
                <c:ptCount val="1"/>
                <c:pt idx="0">
                  <c:v>Chevon Corp</c:v>
                </c:pt>
              </c:strCache>
            </c:strRef>
          </c:tx>
          <c:spPr>
            <a:ln w="28575" cap="rnd">
              <a:solidFill>
                <a:schemeClr val="accent2"/>
              </a:solidFill>
              <a:round/>
            </a:ln>
            <a:effectLst/>
          </c:spPr>
          <c:marker>
            <c:symbol val="none"/>
          </c:marker>
          <c:cat>
            <c:strRef>
              <c:f>Ratios!$B$14:$D$15</c:f>
              <c:strCache>
                <c:ptCount val="3"/>
                <c:pt idx="0">
                  <c:v>2023</c:v>
                </c:pt>
                <c:pt idx="1">
                  <c:v>2022</c:v>
                </c:pt>
                <c:pt idx="2">
                  <c:v>2021</c:v>
                </c:pt>
              </c:strCache>
            </c:strRef>
          </c:cat>
          <c:val>
            <c:numRef>
              <c:f>Ratios!$B$16:$D$16</c:f>
              <c:numCache>
                <c:formatCode>0.0%</c:formatCode>
                <c:ptCount val="3"/>
                <c:pt idx="0">
                  <c:v>0.11899999999999999</c:v>
                </c:pt>
                <c:pt idx="1">
                  <c:v>0.20300000000000001</c:v>
                </c:pt>
                <c:pt idx="2">
                  <c:v>9.4E-2</c:v>
                </c:pt>
              </c:numCache>
            </c:numRef>
          </c:val>
          <c:smooth val="0"/>
          <c:extLst>
            <c:ext xmlns:c16="http://schemas.microsoft.com/office/drawing/2014/chart" uri="{C3380CC4-5D6E-409C-BE32-E72D297353CC}">
              <c16:uniqueId val="{00000000-1F7C-4A67-8147-AB702BD638DA}"/>
            </c:ext>
          </c:extLst>
        </c:ser>
        <c:ser>
          <c:idx val="1"/>
          <c:order val="1"/>
          <c:tx>
            <c:strRef>
              <c:f>Ratios!$A$17</c:f>
              <c:strCache>
                <c:ptCount val="1"/>
                <c:pt idx="0">
                  <c:v>Balchem</c:v>
                </c:pt>
              </c:strCache>
            </c:strRef>
          </c:tx>
          <c:spPr>
            <a:ln w="28575" cap="rnd">
              <a:solidFill>
                <a:schemeClr val="accent4"/>
              </a:solidFill>
              <a:round/>
            </a:ln>
            <a:effectLst/>
          </c:spPr>
          <c:marker>
            <c:symbol val="none"/>
          </c:marker>
          <c:cat>
            <c:strRef>
              <c:f>Ratios!$B$14:$D$15</c:f>
              <c:strCache>
                <c:ptCount val="3"/>
                <c:pt idx="0">
                  <c:v>2023</c:v>
                </c:pt>
                <c:pt idx="1">
                  <c:v>2022</c:v>
                </c:pt>
                <c:pt idx="2">
                  <c:v>2021</c:v>
                </c:pt>
              </c:strCache>
            </c:strRef>
          </c:cat>
          <c:val>
            <c:numRef>
              <c:f>Ratios!$B$17:$D$17</c:f>
              <c:numCache>
                <c:formatCode>0.00%</c:formatCode>
                <c:ptCount val="3"/>
                <c:pt idx="0">
                  <c:v>9.5000000000000001E-2</c:v>
                </c:pt>
                <c:pt idx="1">
                  <c:v>0.09</c:v>
                </c:pt>
                <c:pt idx="2">
                  <c:v>0.11899999999999999</c:v>
                </c:pt>
              </c:numCache>
            </c:numRef>
          </c:val>
          <c:smooth val="0"/>
          <c:extLst>
            <c:ext xmlns:c16="http://schemas.microsoft.com/office/drawing/2014/chart" uri="{C3380CC4-5D6E-409C-BE32-E72D297353CC}">
              <c16:uniqueId val="{00000001-1F7C-4A67-8147-AB702BD638DA}"/>
            </c:ext>
          </c:extLst>
        </c:ser>
        <c:ser>
          <c:idx val="2"/>
          <c:order val="2"/>
          <c:tx>
            <c:strRef>
              <c:f>Ratios!$A$18</c:f>
              <c:strCache>
                <c:ptCount val="1"/>
                <c:pt idx="0">
                  <c:v>Liquid Technologies</c:v>
                </c:pt>
              </c:strCache>
            </c:strRef>
          </c:tx>
          <c:spPr>
            <a:ln w="28575" cap="rnd">
              <a:solidFill>
                <a:schemeClr val="accent6"/>
              </a:solidFill>
              <a:round/>
            </a:ln>
            <a:effectLst/>
          </c:spPr>
          <c:marker>
            <c:symbol val="none"/>
          </c:marker>
          <c:cat>
            <c:strRef>
              <c:f>Ratios!$B$14:$D$15</c:f>
              <c:strCache>
                <c:ptCount val="3"/>
                <c:pt idx="0">
                  <c:v>2023</c:v>
                </c:pt>
                <c:pt idx="1">
                  <c:v>2022</c:v>
                </c:pt>
                <c:pt idx="2">
                  <c:v>2021</c:v>
                </c:pt>
              </c:strCache>
            </c:strRef>
          </c:cat>
          <c:val>
            <c:numRef>
              <c:f>Ratios!$B$18:$D$18</c:f>
              <c:numCache>
                <c:formatCode>0.00%</c:formatCode>
                <c:ptCount val="3"/>
                <c:pt idx="0">
                  <c:v>-6.5000000000000002E-2</c:v>
                </c:pt>
                <c:pt idx="1">
                  <c:v>-7.1999999999999995E-2</c:v>
                </c:pt>
                <c:pt idx="2">
                  <c:v>-9.4E-2</c:v>
                </c:pt>
              </c:numCache>
            </c:numRef>
          </c:val>
          <c:smooth val="0"/>
          <c:extLst>
            <c:ext xmlns:c16="http://schemas.microsoft.com/office/drawing/2014/chart" uri="{C3380CC4-5D6E-409C-BE32-E72D297353CC}">
              <c16:uniqueId val="{00000002-1F7C-4A67-8147-AB702BD638DA}"/>
            </c:ext>
          </c:extLst>
        </c:ser>
        <c:dLbls>
          <c:showLegendKey val="0"/>
          <c:showVal val="0"/>
          <c:showCatName val="0"/>
          <c:showSerName val="0"/>
          <c:showPercent val="0"/>
          <c:showBubbleSize val="0"/>
        </c:dLbls>
        <c:smooth val="0"/>
        <c:axId val="1880981455"/>
        <c:axId val="1880979055"/>
      </c:lineChart>
      <c:catAx>
        <c:axId val="1880981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979055"/>
        <c:crosses val="autoZero"/>
        <c:auto val="1"/>
        <c:lblAlgn val="ctr"/>
        <c:lblOffset val="100"/>
        <c:noMultiLvlLbl val="0"/>
      </c:catAx>
      <c:valAx>
        <c:axId val="18809790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981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Interest Coverage</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Ratios!$A$22</c:f>
              <c:strCache>
                <c:ptCount val="1"/>
                <c:pt idx="0">
                  <c:v>Chevon Corp</c:v>
                </c:pt>
              </c:strCache>
            </c:strRef>
          </c:tx>
          <c:spPr>
            <a:ln w="28575" cap="rnd">
              <a:solidFill>
                <a:schemeClr val="accent1"/>
              </a:solidFill>
              <a:round/>
            </a:ln>
            <a:effectLst/>
          </c:spPr>
          <c:marker>
            <c:symbol val="none"/>
          </c:marker>
          <c:cat>
            <c:strRef>
              <c:f>Ratios!$B$20:$E$21</c:f>
              <c:strCache>
                <c:ptCount val="4"/>
                <c:pt idx="0">
                  <c:v>2023</c:v>
                </c:pt>
                <c:pt idx="1">
                  <c:v>2022</c:v>
                </c:pt>
                <c:pt idx="2">
                  <c:v>2021</c:v>
                </c:pt>
                <c:pt idx="3">
                  <c:v>2020</c:v>
                </c:pt>
              </c:strCache>
            </c:strRef>
          </c:cat>
          <c:val>
            <c:numRef>
              <c:f>Ratios!$B$22:$E$22</c:f>
              <c:numCache>
                <c:formatCode>0.00</c:formatCode>
                <c:ptCount val="4"/>
                <c:pt idx="0">
                  <c:v>49</c:v>
                </c:pt>
                <c:pt idx="1">
                  <c:v>79.8</c:v>
                </c:pt>
                <c:pt idx="2">
                  <c:v>29</c:v>
                </c:pt>
                <c:pt idx="3">
                  <c:v>-8.9</c:v>
                </c:pt>
              </c:numCache>
            </c:numRef>
          </c:val>
          <c:smooth val="0"/>
          <c:extLst>
            <c:ext xmlns:c16="http://schemas.microsoft.com/office/drawing/2014/chart" uri="{C3380CC4-5D6E-409C-BE32-E72D297353CC}">
              <c16:uniqueId val="{00000000-C9F2-4F76-BEF4-67E0BDB03F0A}"/>
            </c:ext>
          </c:extLst>
        </c:ser>
        <c:ser>
          <c:idx val="1"/>
          <c:order val="1"/>
          <c:tx>
            <c:strRef>
              <c:f>Ratios!$A$23</c:f>
              <c:strCache>
                <c:ptCount val="1"/>
                <c:pt idx="0">
                  <c:v>Balchem</c:v>
                </c:pt>
              </c:strCache>
            </c:strRef>
          </c:tx>
          <c:spPr>
            <a:ln w="28575" cap="rnd">
              <a:solidFill>
                <a:schemeClr val="accent2"/>
              </a:solidFill>
              <a:round/>
            </a:ln>
            <a:effectLst/>
          </c:spPr>
          <c:marker>
            <c:symbol val="none"/>
          </c:marker>
          <c:cat>
            <c:strRef>
              <c:f>Ratios!$B$20:$E$21</c:f>
              <c:strCache>
                <c:ptCount val="4"/>
                <c:pt idx="0">
                  <c:v>2023</c:v>
                </c:pt>
                <c:pt idx="1">
                  <c:v>2022</c:v>
                </c:pt>
                <c:pt idx="2">
                  <c:v>2021</c:v>
                </c:pt>
                <c:pt idx="3">
                  <c:v>2020</c:v>
                </c:pt>
              </c:strCache>
            </c:strRef>
          </c:cat>
          <c:val>
            <c:numRef>
              <c:f>Ratios!$B$23:$E$23</c:f>
              <c:numCache>
                <c:formatCode>0.00</c:formatCode>
                <c:ptCount val="4"/>
                <c:pt idx="0">
                  <c:v>6.1</c:v>
                </c:pt>
                <c:pt idx="1">
                  <c:v>13</c:v>
                </c:pt>
                <c:pt idx="2">
                  <c:v>51</c:v>
                </c:pt>
                <c:pt idx="3">
                  <c:v>6.1</c:v>
                </c:pt>
              </c:numCache>
            </c:numRef>
          </c:val>
          <c:smooth val="0"/>
          <c:extLst>
            <c:ext xmlns:c16="http://schemas.microsoft.com/office/drawing/2014/chart" uri="{C3380CC4-5D6E-409C-BE32-E72D297353CC}">
              <c16:uniqueId val="{00000001-C9F2-4F76-BEF4-67E0BDB03F0A}"/>
            </c:ext>
          </c:extLst>
        </c:ser>
        <c:ser>
          <c:idx val="2"/>
          <c:order val="2"/>
          <c:tx>
            <c:strRef>
              <c:f>Ratios!$A$24</c:f>
              <c:strCache>
                <c:ptCount val="1"/>
                <c:pt idx="0">
                  <c:v>Liquid Technologies</c:v>
                </c:pt>
              </c:strCache>
            </c:strRef>
          </c:tx>
          <c:spPr>
            <a:ln w="28575" cap="rnd">
              <a:solidFill>
                <a:schemeClr val="accent3"/>
              </a:solidFill>
              <a:round/>
            </a:ln>
            <a:effectLst/>
          </c:spPr>
          <c:marker>
            <c:symbol val="none"/>
          </c:marker>
          <c:cat>
            <c:strRef>
              <c:f>Ratios!$B$20:$E$21</c:f>
              <c:strCache>
                <c:ptCount val="4"/>
                <c:pt idx="0">
                  <c:v>2023</c:v>
                </c:pt>
                <c:pt idx="1">
                  <c:v>2022</c:v>
                </c:pt>
                <c:pt idx="2">
                  <c:v>2021</c:v>
                </c:pt>
                <c:pt idx="3">
                  <c:v>2020</c:v>
                </c:pt>
              </c:strCache>
            </c:strRef>
          </c:cat>
          <c:val>
            <c:numRef>
              <c:f>Ratios!$B$24:$E$24</c:f>
              <c:numCache>
                <c:formatCode>0.00</c:formatCode>
                <c:ptCount val="4"/>
                <c:pt idx="0">
                  <c:v>-5.01</c:v>
                </c:pt>
                <c:pt idx="1">
                  <c:v>-23.84</c:v>
                </c:pt>
                <c:pt idx="2">
                  <c:v>-26.37</c:v>
                </c:pt>
                <c:pt idx="3">
                  <c:v>-28.71</c:v>
                </c:pt>
              </c:numCache>
            </c:numRef>
          </c:val>
          <c:smooth val="0"/>
          <c:extLst>
            <c:ext xmlns:c16="http://schemas.microsoft.com/office/drawing/2014/chart" uri="{C3380CC4-5D6E-409C-BE32-E72D297353CC}">
              <c16:uniqueId val="{00000002-C9F2-4F76-BEF4-67E0BDB03F0A}"/>
            </c:ext>
          </c:extLst>
        </c:ser>
        <c:dLbls>
          <c:showLegendKey val="0"/>
          <c:showVal val="0"/>
          <c:showCatName val="0"/>
          <c:showSerName val="0"/>
          <c:showPercent val="0"/>
          <c:showBubbleSize val="0"/>
        </c:dLbls>
        <c:smooth val="0"/>
        <c:axId val="1920301823"/>
        <c:axId val="1920306623"/>
      </c:lineChart>
      <c:catAx>
        <c:axId val="192030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306623"/>
        <c:crosses val="autoZero"/>
        <c:auto val="1"/>
        <c:lblAlgn val="ctr"/>
        <c:lblOffset val="100"/>
        <c:noMultiLvlLbl val="0"/>
      </c:catAx>
      <c:valAx>
        <c:axId val="19203066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30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Debt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Ratios!$A$28</c:f>
              <c:strCache>
                <c:ptCount val="1"/>
                <c:pt idx="0">
                  <c:v>Chevon Corp</c:v>
                </c:pt>
              </c:strCache>
            </c:strRef>
          </c:tx>
          <c:spPr>
            <a:ln w="28575" cap="rnd">
              <a:solidFill>
                <a:schemeClr val="accent1"/>
              </a:solidFill>
              <a:round/>
            </a:ln>
            <a:effectLst/>
          </c:spPr>
          <c:marker>
            <c:symbol val="none"/>
          </c:marker>
          <c:cat>
            <c:strRef>
              <c:f>Ratios!$B$26:$E$27</c:f>
              <c:strCache>
                <c:ptCount val="4"/>
                <c:pt idx="0">
                  <c:v>2023</c:v>
                </c:pt>
                <c:pt idx="1">
                  <c:v>2022</c:v>
                </c:pt>
                <c:pt idx="2">
                  <c:v>2021</c:v>
                </c:pt>
                <c:pt idx="3">
                  <c:v>2020</c:v>
                </c:pt>
              </c:strCache>
            </c:strRef>
          </c:cat>
          <c:val>
            <c:numRef>
              <c:f>Ratios!$B$28:$E$28</c:f>
              <c:numCache>
                <c:formatCode>0.00%</c:formatCode>
                <c:ptCount val="4"/>
                <c:pt idx="0">
                  <c:v>7.2999999999999995E-2</c:v>
                </c:pt>
                <c:pt idx="1">
                  <c:v>3.3000000000000002E-2</c:v>
                </c:pt>
                <c:pt idx="2">
                  <c:v>0.156</c:v>
                </c:pt>
                <c:pt idx="3">
                  <c:v>0.22700000000000001</c:v>
                </c:pt>
              </c:numCache>
            </c:numRef>
          </c:val>
          <c:smooth val="0"/>
          <c:extLst>
            <c:ext xmlns:c16="http://schemas.microsoft.com/office/drawing/2014/chart" uri="{C3380CC4-5D6E-409C-BE32-E72D297353CC}">
              <c16:uniqueId val="{00000000-4A68-4044-AEF2-898CEAF3A88C}"/>
            </c:ext>
          </c:extLst>
        </c:ser>
        <c:ser>
          <c:idx val="1"/>
          <c:order val="1"/>
          <c:tx>
            <c:strRef>
              <c:f>Ratios!$A$29</c:f>
              <c:strCache>
                <c:ptCount val="1"/>
                <c:pt idx="0">
                  <c:v>Balchem</c:v>
                </c:pt>
              </c:strCache>
            </c:strRef>
          </c:tx>
          <c:spPr>
            <a:ln w="28575" cap="rnd">
              <a:solidFill>
                <a:schemeClr val="accent2"/>
              </a:solidFill>
              <a:round/>
            </a:ln>
            <a:effectLst/>
          </c:spPr>
          <c:marker>
            <c:symbol val="none"/>
          </c:marker>
          <c:cat>
            <c:strRef>
              <c:f>Ratios!$B$26:$E$27</c:f>
              <c:strCache>
                <c:ptCount val="4"/>
                <c:pt idx="0">
                  <c:v>2023</c:v>
                </c:pt>
                <c:pt idx="1">
                  <c:v>2022</c:v>
                </c:pt>
                <c:pt idx="2">
                  <c:v>2021</c:v>
                </c:pt>
                <c:pt idx="3">
                  <c:v>2020</c:v>
                </c:pt>
              </c:strCache>
            </c:strRef>
          </c:cat>
          <c:val>
            <c:numRef>
              <c:f>Ratios!$B$29:$E$29</c:f>
              <c:numCache>
                <c:formatCode>0%</c:formatCode>
                <c:ptCount val="4"/>
                <c:pt idx="0">
                  <c:v>0.3</c:v>
                </c:pt>
                <c:pt idx="1">
                  <c:v>0.3</c:v>
                </c:pt>
                <c:pt idx="2">
                  <c:v>0.3</c:v>
                </c:pt>
                <c:pt idx="3">
                  <c:v>0.3</c:v>
                </c:pt>
              </c:numCache>
            </c:numRef>
          </c:val>
          <c:smooth val="0"/>
          <c:extLst>
            <c:ext xmlns:c16="http://schemas.microsoft.com/office/drawing/2014/chart" uri="{C3380CC4-5D6E-409C-BE32-E72D297353CC}">
              <c16:uniqueId val="{00000001-4A68-4044-AEF2-898CEAF3A88C}"/>
            </c:ext>
          </c:extLst>
        </c:ser>
        <c:ser>
          <c:idx val="2"/>
          <c:order val="2"/>
          <c:tx>
            <c:strRef>
              <c:f>Ratios!$A$30</c:f>
              <c:strCache>
                <c:ptCount val="1"/>
                <c:pt idx="0">
                  <c:v>Liquid Technologies</c:v>
                </c:pt>
              </c:strCache>
            </c:strRef>
          </c:tx>
          <c:spPr>
            <a:ln w="28575" cap="rnd">
              <a:solidFill>
                <a:schemeClr val="accent3"/>
              </a:solidFill>
              <a:round/>
            </a:ln>
            <a:effectLst/>
          </c:spPr>
          <c:marker>
            <c:symbol val="none"/>
          </c:marker>
          <c:cat>
            <c:strRef>
              <c:f>Ratios!$B$26:$E$27</c:f>
              <c:strCache>
                <c:ptCount val="4"/>
                <c:pt idx="0">
                  <c:v>2023</c:v>
                </c:pt>
                <c:pt idx="1">
                  <c:v>2022</c:v>
                </c:pt>
                <c:pt idx="2">
                  <c:v>2021</c:v>
                </c:pt>
                <c:pt idx="3">
                  <c:v>2020</c:v>
                </c:pt>
              </c:strCache>
            </c:strRef>
          </c:cat>
          <c:val>
            <c:numRef>
              <c:f>Ratios!$B$30:$E$30</c:f>
              <c:numCache>
                <c:formatCode>0.00%</c:formatCode>
                <c:ptCount val="4"/>
                <c:pt idx="0">
                  <c:v>-0.248</c:v>
                </c:pt>
                <c:pt idx="1">
                  <c:v>-0.03</c:v>
                </c:pt>
                <c:pt idx="2">
                  <c:v>-8.1000000000000003E-2</c:v>
                </c:pt>
                <c:pt idx="3">
                  <c:v>-3.0000000000000001E-3</c:v>
                </c:pt>
              </c:numCache>
            </c:numRef>
          </c:val>
          <c:smooth val="0"/>
          <c:extLst>
            <c:ext xmlns:c16="http://schemas.microsoft.com/office/drawing/2014/chart" uri="{C3380CC4-5D6E-409C-BE32-E72D297353CC}">
              <c16:uniqueId val="{00000002-4A68-4044-AEF2-898CEAF3A88C}"/>
            </c:ext>
          </c:extLst>
        </c:ser>
        <c:dLbls>
          <c:showLegendKey val="0"/>
          <c:showVal val="0"/>
          <c:showCatName val="0"/>
          <c:showSerName val="0"/>
          <c:showPercent val="0"/>
          <c:showBubbleSize val="0"/>
        </c:dLbls>
        <c:smooth val="0"/>
        <c:axId val="2068766079"/>
        <c:axId val="2068768479"/>
      </c:lineChart>
      <c:catAx>
        <c:axId val="2068766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68479"/>
        <c:crosses val="autoZero"/>
        <c:auto val="1"/>
        <c:lblAlgn val="ctr"/>
        <c:lblOffset val="100"/>
        <c:noMultiLvlLbl val="0"/>
      </c:catAx>
      <c:valAx>
        <c:axId val="20687684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766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Ratios!$A$33</c:f>
              <c:strCache>
                <c:ptCount val="1"/>
                <c:pt idx="0">
                  <c:v>Net profit</c:v>
                </c:pt>
              </c:strCache>
            </c:strRef>
          </c:tx>
          <c:spPr>
            <a:solidFill>
              <a:schemeClr val="accent1"/>
            </a:solidFill>
            <a:ln>
              <a:noFill/>
            </a:ln>
            <a:effectLst/>
            <a:sp3d/>
          </c:spPr>
          <c:invertIfNegative val="0"/>
          <c:cat>
            <c:strRef>
              <c:f>Ratios!$B$32:$D$32</c:f>
              <c:strCache>
                <c:ptCount val="3"/>
                <c:pt idx="0">
                  <c:v>Chevon Corp</c:v>
                </c:pt>
                <c:pt idx="1">
                  <c:v>Balchem</c:v>
                </c:pt>
                <c:pt idx="2">
                  <c:v>Liquid Technologies</c:v>
                </c:pt>
              </c:strCache>
            </c:strRef>
          </c:cat>
          <c:val>
            <c:numRef>
              <c:f>Ratios!$B$33:$D$33</c:f>
              <c:numCache>
                <c:formatCode>General</c:formatCode>
                <c:ptCount val="3"/>
                <c:pt idx="0" formatCode="#,##0">
                  <c:v>21411</c:v>
                </c:pt>
                <c:pt idx="1">
                  <c:v>779576</c:v>
                </c:pt>
                <c:pt idx="2">
                  <c:v>-2048</c:v>
                </c:pt>
              </c:numCache>
            </c:numRef>
          </c:val>
          <c:extLst>
            <c:ext xmlns:c16="http://schemas.microsoft.com/office/drawing/2014/chart" uri="{C3380CC4-5D6E-409C-BE32-E72D297353CC}">
              <c16:uniqueId val="{00000000-FA23-4036-AB3F-2444E9B2BCDA}"/>
            </c:ext>
          </c:extLst>
        </c:ser>
        <c:dLbls>
          <c:showLegendKey val="0"/>
          <c:showVal val="0"/>
          <c:showCatName val="0"/>
          <c:showSerName val="0"/>
          <c:showPercent val="0"/>
          <c:showBubbleSize val="0"/>
        </c:dLbls>
        <c:gapWidth val="150"/>
        <c:shape val="box"/>
        <c:axId val="1885065359"/>
        <c:axId val="1885075919"/>
        <c:axId val="0"/>
      </c:bar3DChart>
      <c:catAx>
        <c:axId val="18850653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075919"/>
        <c:crosses val="autoZero"/>
        <c:auto val="1"/>
        <c:lblAlgn val="ctr"/>
        <c:lblOffset val="100"/>
        <c:noMultiLvlLbl val="0"/>
      </c:catAx>
      <c:valAx>
        <c:axId val="1885075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065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Ratios!$A$36</c:f>
              <c:strCache>
                <c:ptCount val="1"/>
                <c:pt idx="0">
                  <c:v>Gross profit</c:v>
                </c:pt>
              </c:strCache>
            </c:strRef>
          </c:tx>
          <c:spPr>
            <a:solidFill>
              <a:schemeClr val="accent1"/>
            </a:solidFill>
            <a:ln>
              <a:noFill/>
            </a:ln>
            <a:effectLst/>
            <a:sp3d/>
          </c:spPr>
          <c:invertIfNegative val="0"/>
          <c:cat>
            <c:strRef>
              <c:f>Ratios!$B$35:$D$35</c:f>
              <c:strCache>
                <c:ptCount val="3"/>
                <c:pt idx="0">
                  <c:v>Chevon Corp</c:v>
                </c:pt>
                <c:pt idx="1">
                  <c:v>Balchem</c:v>
                </c:pt>
                <c:pt idx="2">
                  <c:v>Liquid Technologies</c:v>
                </c:pt>
              </c:strCache>
            </c:strRef>
          </c:cat>
          <c:val>
            <c:numRef>
              <c:f>Ratios!$B$36:$D$36</c:f>
              <c:numCache>
                <c:formatCode>General</c:formatCode>
                <c:ptCount val="3"/>
                <c:pt idx="0" formatCode="#,##0">
                  <c:v>56866</c:v>
                </c:pt>
                <c:pt idx="1">
                  <c:v>302056</c:v>
                </c:pt>
                <c:pt idx="2">
                  <c:v>149</c:v>
                </c:pt>
              </c:numCache>
            </c:numRef>
          </c:val>
          <c:extLst>
            <c:ext xmlns:c16="http://schemas.microsoft.com/office/drawing/2014/chart" uri="{C3380CC4-5D6E-409C-BE32-E72D297353CC}">
              <c16:uniqueId val="{00000000-ED30-41F1-97C4-47C96972BA4D}"/>
            </c:ext>
          </c:extLst>
        </c:ser>
        <c:dLbls>
          <c:showLegendKey val="0"/>
          <c:showVal val="0"/>
          <c:showCatName val="0"/>
          <c:showSerName val="0"/>
          <c:showPercent val="0"/>
          <c:showBubbleSize val="0"/>
        </c:dLbls>
        <c:gapWidth val="150"/>
        <c:shape val="box"/>
        <c:axId val="1853832591"/>
        <c:axId val="1853833551"/>
        <c:axId val="0"/>
      </c:bar3DChart>
      <c:catAx>
        <c:axId val="18538325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833551"/>
        <c:crosses val="autoZero"/>
        <c:auto val="1"/>
        <c:lblAlgn val="ctr"/>
        <c:lblOffset val="100"/>
        <c:noMultiLvlLbl val="0"/>
      </c:catAx>
      <c:valAx>
        <c:axId val="18538335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832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Ratios!$A$33</c:f>
              <c:strCache>
                <c:ptCount val="1"/>
                <c:pt idx="0">
                  <c:v>Net profit</c:v>
                </c:pt>
              </c:strCache>
            </c:strRef>
          </c:tx>
          <c:spPr>
            <a:solidFill>
              <a:schemeClr val="accent1"/>
            </a:solidFill>
            <a:ln>
              <a:noFill/>
            </a:ln>
            <a:effectLst/>
            <a:sp3d/>
          </c:spPr>
          <c:invertIfNegative val="0"/>
          <c:cat>
            <c:strRef>
              <c:f>Ratios!$B$32:$D$32</c:f>
              <c:strCache>
                <c:ptCount val="3"/>
                <c:pt idx="0">
                  <c:v>Chevon Corp</c:v>
                </c:pt>
                <c:pt idx="1">
                  <c:v>Balchem</c:v>
                </c:pt>
                <c:pt idx="2">
                  <c:v>Liquid Technologies</c:v>
                </c:pt>
              </c:strCache>
            </c:strRef>
          </c:cat>
          <c:val>
            <c:numRef>
              <c:f>Ratios!$B$33:$D$33</c:f>
              <c:numCache>
                <c:formatCode>General</c:formatCode>
                <c:ptCount val="3"/>
                <c:pt idx="0" formatCode="#,##0">
                  <c:v>21411</c:v>
                </c:pt>
                <c:pt idx="1">
                  <c:v>779576</c:v>
                </c:pt>
                <c:pt idx="2">
                  <c:v>-2048</c:v>
                </c:pt>
              </c:numCache>
            </c:numRef>
          </c:val>
          <c:extLst>
            <c:ext xmlns:c16="http://schemas.microsoft.com/office/drawing/2014/chart" uri="{C3380CC4-5D6E-409C-BE32-E72D297353CC}">
              <c16:uniqueId val="{00000000-BA0C-4E49-ABED-AEDADA9AE430}"/>
            </c:ext>
          </c:extLst>
        </c:ser>
        <c:dLbls>
          <c:showLegendKey val="0"/>
          <c:showVal val="0"/>
          <c:showCatName val="0"/>
          <c:showSerName val="0"/>
          <c:showPercent val="0"/>
          <c:showBubbleSize val="0"/>
        </c:dLbls>
        <c:gapWidth val="150"/>
        <c:shape val="box"/>
        <c:axId val="1885065359"/>
        <c:axId val="1885075919"/>
        <c:axId val="0"/>
      </c:bar3DChart>
      <c:catAx>
        <c:axId val="18850653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075919"/>
        <c:crosses val="autoZero"/>
        <c:auto val="1"/>
        <c:lblAlgn val="ctr"/>
        <c:lblOffset val="100"/>
        <c:noMultiLvlLbl val="0"/>
      </c:catAx>
      <c:valAx>
        <c:axId val="1885075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065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EE40-ABE3-4C05-AFBA-80F6B9E7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1</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Jelin</dc:creator>
  <cp:keywords/>
  <dc:description/>
  <cp:lastModifiedBy>Bokka, Sampreethi</cp:lastModifiedBy>
  <cp:revision>74</cp:revision>
  <dcterms:created xsi:type="dcterms:W3CDTF">2024-11-11T04:34:00Z</dcterms:created>
  <dcterms:modified xsi:type="dcterms:W3CDTF">2024-11-13T21:02:00Z</dcterms:modified>
</cp:coreProperties>
</file>