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Bridge Girder Behavior Analysis through Load Test with Instrumentation</w:t>
      </w:r>
    </w:p>
    <w:p>
      <w:pPr>
        <w:jc w:val="center"/>
      </w:pPr>
      <w:r>
        <w:rPr>
          <w:b/>
        </w:rPr>
        <w:t>Bridge Girder 36 &amp; 36A</w:t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BRIDGE_36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Bharat Petroleum Corporation Limited</w:t>
            </w:r>
          </w:p>
        </w:tc>
      </w:tr>
      <w:tr>
        <w:tc>
          <w:tcPr>
            <w:tcW w:type="dxa" w:w="4320"/>
          </w:tcPr>
          <w:p>
            <w:r>
              <w:t>Site Location</w:t>
            </w:r>
          </w:p>
        </w:tc>
        <w:tc>
          <w:tcPr>
            <w:tcW w:type="dxa" w:w="4320"/>
          </w:tcPr>
          <w:p>
            <w:r>
              <w:t>Batalala, Jammu &amp; Kashmir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Railway Bridge</w:t>
            </w:r>
          </w:p>
        </w:tc>
      </w:tr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Static Load Test</w:t>
            </w:r>
          </w:p>
        </w:tc>
      </w:tr>
      <w:tr>
        <w:tc>
          <w:tcPr>
            <w:tcW w:type="dxa" w:w="4320"/>
          </w:tcPr>
          <w:p>
            <w:r>
              <w:t>Sampling</w:t>
            </w:r>
          </w:p>
        </w:tc>
        <w:tc>
          <w:tcPr>
            <w:tcW w:type="dxa" w:w="4320"/>
          </w:tcPr>
          <w:p>
            <w:r>
              <w:t>1 second</w:t>
            </w:r>
          </w:p>
        </w:tc>
      </w:tr>
      <w:tr>
        <w:tc>
          <w:tcPr>
            <w:tcW w:type="dxa" w:w="4320"/>
          </w:tcPr>
          <w:p>
            <w:r>
              <w:t>Data Start</w:t>
            </w:r>
          </w:p>
        </w:tc>
        <w:tc>
          <w:tcPr>
            <w:tcW w:type="dxa" w:w="4320"/>
          </w:tcPr>
          <w:p>
            <w:r>
              <w:t>2026-09-27 00:00:00</w:t>
            </w:r>
          </w:p>
        </w:tc>
      </w:tr>
      <w:tr>
        <w:tc>
          <w:tcPr>
            <w:tcW w:type="dxa" w:w="4320"/>
          </w:tcPr>
          <w:p>
            <w:r>
              <w:t>Data End</w:t>
            </w:r>
          </w:p>
        </w:tc>
        <w:tc>
          <w:tcPr>
            <w:tcW w:type="dxa" w:w="4320"/>
          </w:tcPr>
          <w:p>
            <w:r>
              <w:t>2026-09-27 01:59:59</w:t>
            </w:r>
          </w:p>
        </w:tc>
      </w:tr>
    </w:tbl>
    <w:p>
      <w:pPr>
        <w:pStyle w:val="Heading1"/>
      </w:pPr>
      <w:r>
        <w:t>2. Sensor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Sensor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Minimum</w:t>
            </w:r>
          </w:p>
        </w:tc>
        <w:tc>
          <w:tcPr>
            <w:tcW w:type="dxa" w:w="1440"/>
          </w:tcPr>
          <w:p>
            <w:r>
              <w:t>Maximum</w:t>
            </w:r>
          </w:p>
        </w:tc>
        <w:tc>
          <w:tcPr>
            <w:tcW w:type="dxa" w:w="1440"/>
          </w:tcPr>
          <w:p>
            <w:r>
              <w:t>Average</w:t>
            </w:r>
          </w:p>
        </w:tc>
      </w:tr>
      <w:tr>
        <w:tc>
          <w:tcPr>
            <w:tcW w:type="dxa" w:w="1440"/>
          </w:tcPr>
          <w:p>
            <w:r>
              <w:t>DEF-01</w:t>
            </w:r>
          </w:p>
        </w:tc>
        <w:tc>
          <w:tcPr>
            <w:tcW w:type="dxa" w:w="1440"/>
          </w:tcPr>
          <w:p>
            <w:r>
              <w:t>Deflection</w:t>
            </w:r>
          </w:p>
        </w:tc>
        <w:tc>
          <w:tcPr>
            <w:tcW w:type="dxa" w:w="1440"/>
          </w:tcPr>
          <w:p>
            <w:r>
              <w:t>Span 36, Mid-span</w:t>
            </w:r>
          </w:p>
        </w:tc>
        <w:tc>
          <w:tcPr>
            <w:tcW w:type="dxa" w:w="1440"/>
          </w:tcPr>
          <w:p>
            <w:r>
              <w:t>-0.0470</w:t>
            </w:r>
          </w:p>
        </w:tc>
        <w:tc>
          <w:tcPr>
            <w:tcW w:type="dxa" w:w="1440"/>
          </w:tcPr>
          <w:p>
            <w:r>
              <w:t>2.0463</w:t>
            </w:r>
          </w:p>
        </w:tc>
        <w:tc>
          <w:tcPr>
            <w:tcW w:type="dxa" w:w="1440"/>
          </w:tcPr>
          <w:p>
            <w:r>
              <w:t>1.0001</w:t>
            </w:r>
          </w:p>
        </w:tc>
      </w:tr>
      <w:tr>
        <w:tc>
          <w:tcPr>
            <w:tcW w:type="dxa" w:w="1440"/>
          </w:tcPr>
          <w:p>
            <w:r>
              <w:t>DEF-02</w:t>
            </w:r>
          </w:p>
        </w:tc>
        <w:tc>
          <w:tcPr>
            <w:tcW w:type="dxa" w:w="1440"/>
          </w:tcPr>
          <w:p>
            <w:r>
              <w:t>Deflection</w:t>
            </w:r>
          </w:p>
        </w:tc>
        <w:tc>
          <w:tcPr>
            <w:tcW w:type="dxa" w:w="1440"/>
          </w:tcPr>
          <w:p>
            <w:r>
              <w:t>Span 36A, Mid-span</w:t>
            </w:r>
          </w:p>
        </w:tc>
        <w:tc>
          <w:tcPr>
            <w:tcW w:type="dxa" w:w="1440"/>
          </w:tcPr>
          <w:p>
            <w:r>
              <w:t>-0.0470</w:t>
            </w:r>
          </w:p>
        </w:tc>
        <w:tc>
          <w:tcPr>
            <w:tcW w:type="dxa" w:w="1440"/>
          </w:tcPr>
          <w:p>
            <w:r>
              <w:t>2.0468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TEMP-01</w:t>
            </w:r>
          </w:p>
        </w:tc>
        <w:tc>
          <w:tcPr>
            <w:tcW w:type="dxa" w:w="1440"/>
          </w:tcPr>
          <w:p>
            <w:r>
              <w:t>Temperature</w:t>
            </w:r>
          </w:p>
        </w:tc>
        <w:tc>
          <w:tcPr>
            <w:tcW w:type="dxa" w:w="1440"/>
          </w:tcPr>
          <w:p>
            <w:r>
              <w:t>Span 36, Mid-span</w:t>
            </w:r>
          </w:p>
        </w:tc>
        <w:tc>
          <w:tcPr>
            <w:tcW w:type="dxa" w:w="1440"/>
          </w:tcPr>
          <w:p>
            <w:r>
              <w:t>25.7002</w:t>
            </w:r>
          </w:p>
        </w:tc>
        <w:tc>
          <w:tcPr>
            <w:tcW w:type="dxa" w:w="1440"/>
          </w:tcPr>
          <w:p>
            <w:r>
              <w:t>28.3000</w:t>
            </w:r>
          </w:p>
        </w:tc>
        <w:tc>
          <w:tcPr>
            <w:tcW w:type="dxa" w:w="1440"/>
          </w:tcPr>
          <w:p>
            <w:r>
              <w:t>27.1718</w:t>
            </w:r>
          </w:p>
        </w:tc>
      </w:tr>
      <w:tr>
        <w:tc>
          <w:tcPr>
            <w:tcW w:type="dxa" w:w="1440"/>
          </w:tcPr>
          <w:p>
            <w:r>
              <w:t>TEMP-02</w:t>
            </w:r>
          </w:p>
        </w:tc>
        <w:tc>
          <w:tcPr>
            <w:tcW w:type="dxa" w:w="1440"/>
          </w:tcPr>
          <w:p>
            <w:r>
              <w:t>Temperature</w:t>
            </w:r>
          </w:p>
        </w:tc>
        <w:tc>
          <w:tcPr>
            <w:tcW w:type="dxa" w:w="1440"/>
          </w:tcPr>
          <w:p>
            <w:r>
              <w:t>Span 36A, Support A</w:t>
            </w:r>
          </w:p>
        </w:tc>
        <w:tc>
          <w:tcPr>
            <w:tcW w:type="dxa" w:w="1440"/>
          </w:tcPr>
          <w:p>
            <w:r>
              <w:t>25.7004</w:t>
            </w:r>
          </w:p>
        </w:tc>
        <w:tc>
          <w:tcPr>
            <w:tcW w:type="dxa" w:w="1440"/>
          </w:tcPr>
          <w:p>
            <w:r>
              <w:t>28.2999</w:t>
            </w:r>
          </w:p>
        </w:tc>
        <w:tc>
          <w:tcPr>
            <w:tcW w:type="dxa" w:w="1440"/>
          </w:tcPr>
          <w:p>
            <w:r>
              <w:t>27.1719</w:t>
            </w:r>
          </w:p>
        </w:tc>
      </w:tr>
      <w:tr>
        <w:tc>
          <w:tcPr>
            <w:tcW w:type="dxa" w:w="1440"/>
          </w:tcPr>
          <w:p>
            <w:r>
              <w:t>VIB-01</w:t>
            </w:r>
          </w:p>
        </w:tc>
        <w:tc>
          <w:tcPr>
            <w:tcW w:type="dxa" w:w="1440"/>
          </w:tcPr>
          <w:p>
            <w:r>
              <w:t>Vibration</w:t>
            </w:r>
          </w:p>
        </w:tc>
        <w:tc>
          <w:tcPr>
            <w:tcW w:type="dxa" w:w="1440"/>
          </w:tcPr>
          <w:p>
            <w:r>
              <w:t>Span 36, Mid-span</w:t>
            </w:r>
          </w:p>
        </w:tc>
        <w:tc>
          <w:tcPr>
            <w:tcW w:type="dxa" w:w="1440"/>
          </w:tcPr>
          <w:p>
            <w:r>
              <w:t>0.8218</w:t>
            </w:r>
          </w:p>
        </w:tc>
        <w:tc>
          <w:tcPr>
            <w:tcW w:type="dxa" w:w="1440"/>
          </w:tcPr>
          <w:p>
            <w:r>
              <w:t>1.8799</w:t>
            </w:r>
          </w:p>
        </w:tc>
        <w:tc>
          <w:tcPr>
            <w:tcW w:type="dxa" w:w="1440"/>
          </w:tcPr>
          <w:p>
            <w:r>
              <w:t>1.3499</w:t>
            </w:r>
          </w:p>
        </w:tc>
      </w:tr>
      <w:tr>
        <w:tc>
          <w:tcPr>
            <w:tcW w:type="dxa" w:w="1440"/>
          </w:tcPr>
          <w:p>
            <w:r>
              <w:t>VIB-02</w:t>
            </w:r>
          </w:p>
        </w:tc>
        <w:tc>
          <w:tcPr>
            <w:tcW w:type="dxa" w:w="1440"/>
          </w:tcPr>
          <w:p>
            <w:r>
              <w:t>Vibration</w:t>
            </w:r>
          </w:p>
        </w:tc>
        <w:tc>
          <w:tcPr>
            <w:tcW w:type="dxa" w:w="1440"/>
          </w:tcPr>
          <w:p>
            <w:r>
              <w:t>Span 36A, Mid-span</w:t>
            </w:r>
          </w:p>
        </w:tc>
        <w:tc>
          <w:tcPr>
            <w:tcW w:type="dxa" w:w="1440"/>
          </w:tcPr>
          <w:p>
            <w:r>
              <w:t>0.8201</w:t>
            </w:r>
          </w:p>
        </w:tc>
        <w:tc>
          <w:tcPr>
            <w:tcW w:type="dxa" w:w="1440"/>
          </w:tcPr>
          <w:p>
            <w:r>
              <w:t>1.8781</w:t>
            </w:r>
          </w:p>
        </w:tc>
        <w:tc>
          <w:tcPr>
            <w:tcW w:type="dxa" w:w="1440"/>
          </w:tcPr>
          <w:p>
            <w:r>
              <w:t>1.3499</w:t>
            </w:r>
          </w:p>
        </w:tc>
      </w:tr>
    </w:tbl>
    <w:p>
      <w:pPr>
        <w:pStyle w:val="Heading1"/>
      </w:pPr>
      <w:r>
        <w:t>3. Sensor Trend Charts</w:t>
      </w:r>
    </w:p>
    <w:p>
      <w:r>
        <w:t>TEMP-01</w:t>
      </w:r>
    </w:p>
    <w:p>
      <w:r>
        <w:drawing>
          <wp:inline xmlns:a="http://schemas.openxmlformats.org/drawingml/2006/main" xmlns:pic="http://schemas.openxmlformats.org/drawingml/2006/picture">
            <wp:extent cx="5669280" cy="2519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TEMP-02</w:t>
      </w:r>
    </w:p>
    <w:p>
      <w:r>
        <w:drawing>
          <wp:inline xmlns:a="http://schemas.openxmlformats.org/drawingml/2006/main" xmlns:pic="http://schemas.openxmlformats.org/drawingml/2006/picture">
            <wp:extent cx="5669280" cy="251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DEF-01</w:t>
      </w:r>
    </w:p>
    <w:p>
      <w:r>
        <w:drawing>
          <wp:inline xmlns:a="http://schemas.openxmlformats.org/drawingml/2006/main" xmlns:pic="http://schemas.openxmlformats.org/drawingml/2006/picture">
            <wp:extent cx="5669280" cy="2519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DEF-02</w:t>
      </w:r>
    </w:p>
    <w:p>
      <w:r>
        <w:drawing>
          <wp:inline xmlns:a="http://schemas.openxmlformats.org/drawingml/2006/main" xmlns:pic="http://schemas.openxmlformats.org/drawingml/2006/picture">
            <wp:extent cx="5669280" cy="2519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VIB-01</w:t>
      </w:r>
    </w:p>
    <w:p>
      <w:r>
        <w:drawing>
          <wp:inline xmlns:a="http://schemas.openxmlformats.org/drawingml/2006/main" xmlns:pic="http://schemas.openxmlformats.org/drawingml/2006/picture">
            <wp:extent cx="5669280" cy="2519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VIB-02</w:t>
      </w:r>
    </w:p>
    <w:p>
      <w:r>
        <w:drawing>
          <wp:inline xmlns:a="http://schemas.openxmlformats.org/drawingml/2006/main" xmlns:pic="http://schemas.openxmlformats.org/drawingml/2006/picture">
            <wp:extent cx="5669280" cy="2519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Observation</w:t>
      </w:r>
    </w:p>
    <w:p>
      <w:r>
        <w:t>This prototype report is generated automatically from one-second synthetic sensor telemetry. Final design values, acceptance criteria, temperature correction, recovery calculations and engineering interpretation will be configured from the approved project methodology.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