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w:hAnsi="Calibri"/>
          <w:b/>
          <w:color w:val="0F172A"/>
          <w:sz w:val="72"/>
        </w:rPr>
        <w:t>TANGENT</w:t>
      </w:r>
    </w:p>
    <w:p>
      <w:pPr>
        <w:spacing w:after="720"/>
        <w:jc w:val="center"/>
      </w:pPr>
      <w:r>
        <w:rPr>
          <w:i/>
          <w:color w:val="475569"/>
          <w:sz w:val="28"/>
        </w:rPr>
        <w:t>A Production-Grade Multi-Asset Portfolio Decision Intelligence Platform</w:t>
        <w:br/>
        <w:t>with Deterministic SLSQP Optimization and Traceable Multi-Agent Deliberation</w:t>
      </w:r>
    </w:p>
    <w:p>
      <w:pPr>
        <w:spacing w:after="1600"/>
        <w:jc w:val="center"/>
      </w:pPr>
      <w:r>
        <w:rPr>
          <w:color w:val="CBD5E1"/>
        </w:rPr>
        <w:t>————————————————————————————————</w:t>
      </w:r>
    </w:p>
    <w:p>
      <w:pPr>
        <w:spacing w:line="312" w:lineRule="auto" w:after="120"/>
        <w:jc w:val="center"/>
      </w:pPr>
      <w:r>
        <w:rPr>
          <w:b/>
          <w:color w:val="0F172A"/>
          <w:sz w:val="22"/>
        </w:rPr>
        <w:t xml:space="preserve">Author / Candidate: </w:t>
      </w:r>
      <w:r>
        <w:rPr>
          <w:color w:val="334155"/>
          <w:sz w:val="22"/>
        </w:rPr>
        <w:t>Sampurn Gupta</w:t>
        <w:br/>
      </w:r>
      <w:r>
        <w:rPr>
          <w:b/>
          <w:color w:val="0F172A"/>
          <w:sz w:val="22"/>
        </w:rPr>
        <w:t xml:space="preserve">Program / Department: </w:t>
      </w:r>
      <w:r>
        <w:rPr>
          <w:color w:val="334155"/>
          <w:sz w:val="22"/>
        </w:rPr>
        <w:t>Department of Computer Science &amp; Quantitative Systems</w:t>
        <w:br/>
      </w:r>
      <w:r>
        <w:rPr>
          <w:b/>
          <w:color w:val="0F172A"/>
          <w:sz w:val="22"/>
        </w:rPr>
        <w:t xml:space="preserve">Institution: </w:t>
      </w:r>
      <w:r>
        <w:rPr>
          <w:color w:val="334155"/>
          <w:sz w:val="22"/>
        </w:rPr>
        <w:t>Apex Institute of Technology &amp; Engineering</w:t>
        <w:br/>
      </w:r>
      <w:r>
        <w:rPr>
          <w:b/>
          <w:color w:val="0F172A"/>
          <w:sz w:val="22"/>
        </w:rPr>
        <w:t xml:space="preserve">Project Type: </w:t>
      </w:r>
      <w:r>
        <w:rPr>
          <w:color w:val="334155"/>
          <w:sz w:val="22"/>
        </w:rPr>
        <w:t>Senior Capstone &amp; Production Systems Technical Report</w:t>
        <w:br/>
      </w:r>
      <w:r>
        <w:rPr>
          <w:b/>
          <w:color w:val="0F172A"/>
          <w:sz w:val="22"/>
        </w:rPr>
        <w:t xml:space="preserve">Academic Year: </w:t>
      </w:r>
      <w:r>
        <w:rPr>
          <w:color w:val="334155"/>
          <w:sz w:val="22"/>
        </w:rPr>
        <w:t>2025 – 2026</w:t>
        <w:br/>
      </w:r>
      <w:r>
        <w:rPr>
          <w:b/>
          <w:color w:val="0F172A"/>
          <w:sz w:val="22"/>
        </w:rPr>
        <w:t xml:space="preserve">System Version: </w:t>
      </w:r>
      <w:r>
        <w:rPr>
          <w:color w:val="334155"/>
          <w:sz w:val="22"/>
        </w:rPr>
        <w:t>Tangent v1.1.0 Production Release</w:t>
        <w:br/>
      </w:r>
    </w:p>
    <w:p>
      <w:r>
        <w:br w:type="page"/>
      </w:r>
    </w:p>
    <w:p>
      <w:pPr>
        <w:keepNext/>
        <w:spacing w:before="360" w:after="120"/>
      </w:pPr>
      <w:r>
        <w:rPr>
          <w:rFonts w:ascii="Calibri" w:hAnsi="Calibri"/>
          <w:b/>
          <w:color w:val="0F172A"/>
          <w:sz w:val="36"/>
        </w:rPr>
        <w:t>2. Abstract</w:t>
      </w:r>
    </w:p>
    <w:p>
      <w:r>
        <w:t xml:space="preserve">Individual investors navigating modern financial markets face significant structural barriers: conventional portfolio allocation tools often rely on naive static heuristics (e.g., fixed 60/40 equities/bonds), generic risk questionnaires, or opaque commercial black boxes that lack auditability and mathematical rigour. Furthermore, retail investors are typically forced to choose between pure mathematical optimization that ignores investor subjectivity, or unconstrained generative AI chatbots prone to metric hallucination and ungrounded advice. </w:t>
        <w:br/>
        <w:br/>
        <w:t xml:space="preserve">To resolve this dilemma, this report presents Tangent, an institutional-grade, multi-asset portfolio decision intelligence platform. Tangent unifies deterministic Modern Portfolio Theory (MPT) with a verifiable multi-agent deliberation framework. The system incorporates an institutional 74-asset universe spanning Indian equities (Nifty 50), US ETFs, commodities, REITs, sovereign debt, synthetic bank fixed deposits, and digital assets. Portfolio optimization employs a multi-start Sequential Least Squares Programming (SLSQP) solver incorporating Ledoit-Wolf covariance shrinkage, statutory regulatory asset caps (15%), sector concentration caps (25%), Indian Long-Term Capital Gains (LTCG) tax drag (12.5%), and headline inflation adjustments (6.0%). Risk dynamics are rigorously projected via 1,000–10,000 path geometric Brownian motion Monte Carlo simulations, historical crisis stress testing (2008 GFC, 2020 COVID, 2022 Rate Spike), and walk-forward out-of-sample backtesting across four classic strategies. </w:t>
        <w:br/>
        <w:br/>
        <w:t>Architecturally, Tangent is built as an isolated-package monorepo comprising six containerized FastAPI microservices (Gateway, Market-Data, Quant, Portfolio, Sentiment, Agent) and a high-performance Next.js 16 App Router interface with a dual-tier LLM pipeline. Numerical metrics are strictly restricted to deterministic Python microservices, creating an immutable Evidence Pack ([E1]–[E9]) audited by an automated Critic within ±0.5% tolerance. Simultaneously, an interactive Expert Arena hosts five strictly bounded economic ideologies (Macro, Deep Value, Quant Momentum, Austrian Sound Money, ESG) alongside Draww, an institutional portfolio co-pilot. Tangent bridges the gap between sophisticated quantitative finance and accessible, explainable investor decision-making.</w:t>
      </w:r>
    </w:p>
    <w:p>
      <w:pPr>
        <w:keepNext/>
        <w:spacing w:before="360" w:after="120"/>
      </w:pPr>
      <w:r>
        <w:rPr>
          <w:rFonts w:ascii="Calibri" w:hAnsi="Calibri"/>
          <w:b/>
          <w:color w:val="0F172A"/>
          <w:sz w:val="36"/>
        </w:rPr>
        <w:t>3. Introduction</w:t>
      </w:r>
    </w:p>
    <w:p>
      <w:pPr>
        <w:keepNext/>
        <w:spacing w:before="240" w:after="80"/>
      </w:pPr>
      <w:r>
        <w:rPr>
          <w:rFonts w:ascii="Calibri" w:hAnsi="Calibri"/>
          <w:b/>
          <w:color w:val="1E293B"/>
          <w:sz w:val="27"/>
        </w:rPr>
        <w:t>3.1 Background</w:t>
      </w:r>
    </w:p>
    <w:p>
      <w:r>
        <w:t>Modern wealth management is fundamentally a multi-objective decision problem under uncertainty. Traditional retail wealth allocation has historically relied on naive asset allocation rules, such as allocating capital solely based on the highest recent historical trailing returns. In mathematical finance, selecting assets based on trailing returns is known to produce highly concentrated, unstable portfolios that exhibit extreme drawdowns during regime shifts. Historical returns contain low signal-to-noise ratios and provide poor estimates of future mean returns.</w:t>
      </w:r>
    </w:p>
    <w:p>
      <w:r>
        <w:t>Effective asset allocation requires simultaneous joint modeling of risk, expected return, asset co-movements (covariance and correlation), and investor-specific horizons. Diversification—described by Harry Markowitz as the 'only free lunch in finance'—reduces portfolio variance without sacrificing expected return when assets exhibit imperfect correlation. However, calculating the true benefits of diversification requires empirical covariance estimation, liquidity constraints, statutory tax friction, and risk tolerance alignment.</w:t>
      </w:r>
    </w:p>
    <w:p>
      <w:pPr>
        <w:keepNext/>
        <w:spacing w:before="240" w:after="80"/>
      </w:pPr>
      <w:r>
        <w:rPr>
          <w:rFonts w:ascii="Calibri" w:hAnsi="Calibri"/>
          <w:b/>
          <w:color w:val="1E293B"/>
          <w:sz w:val="27"/>
        </w:rPr>
        <w:t>3.2 Problem Statement</w:t>
      </w:r>
    </w:p>
    <w:p>
      <w:pPr>
        <w:spacing w:before="120" w:after="160"/>
        <w:ind w:left="360" w:right="360"/>
      </w:pPr>
      <w:r>
        <w:rPr>
          <w:b/>
          <w:color w:val="2563EB"/>
          <w:sz w:val="19"/>
        </w:rPr>
        <w:t xml:space="preserve">CORE PROBLEM STATEMENT: </w:t>
      </w:r>
      <w:r>
        <w:rPr>
          <w:i/>
          <w:color w:val="334155"/>
          <w:sz w:val="19"/>
        </w:rPr>
        <w:t>"How can an individual investor construct a diversified portfolio that is mathematically optimized while remaining aligned with their personal risk profile, investment horizon, objectives, and regulatory constraints, with absolute mathematical auditability and zero metric hallucination?"</w:t>
      </w:r>
    </w:p>
    <w:p>
      <w:pPr>
        <w:keepNext/>
        <w:spacing w:before="240" w:after="80"/>
      </w:pPr>
      <w:r>
        <w:rPr>
          <w:rFonts w:ascii="Calibri" w:hAnsi="Calibri"/>
          <w:b/>
          <w:color w:val="1E293B"/>
          <w:sz w:val="27"/>
        </w:rPr>
        <w:t>3.3 Motivation</w:t>
      </w:r>
    </w:p>
    <w:p>
      <w:r>
        <w:t>Tangent was developed to overcome key limitations in existing consumer financial applications:</w:t>
        <w:br/>
        <w:t>1. Manual / Static Allocation: Arbitrary heuristics fail to adjust for cross-asset correlations, resulting in hidden risk concentrations.</w:t>
        <w:br/>
        <w:t>2. Return-Only Optimization: Optimizing solely for return creates fragile portfolios concentrated in the single most volatile asset.</w:t>
        <w:br/>
        <w:t>3. Lack of Real-World Tax and Inflation Friction: Most academic models assume frictionless markets, neglecting blended Indian LTCG taxes (12.5% equity, 30% debt) and 6% inflation.</w:t>
        <w:br/>
        <w:t>4. Black-Box Recommendations: Commercial robo-advisors present final asset weights without explaining marginal impact or trade-offs.</w:t>
        <w:br/>
        <w:t>5. Hallucinatory Financial Chatbots: Standard Large Language Models frequently invent financial returns, Sharpe ratios, and advice without deterministic verification.</w:t>
      </w:r>
    </w:p>
    <w:p>
      <w:pPr>
        <w:keepNext/>
        <w:spacing w:before="240" w:after="80"/>
      </w:pPr>
      <w:r>
        <w:rPr>
          <w:rFonts w:ascii="Calibri" w:hAnsi="Calibri"/>
          <w:b/>
          <w:color w:val="1E293B"/>
          <w:sz w:val="27"/>
        </w:rPr>
        <w:t>3.4 Why This Idea?</w:t>
      </w:r>
    </w:p>
    <w:p>
      <w:r>
        <w:t>Tangent closes the gap between institutional quantitative finance and retail accessibility by integrating five key pillars: Investor Understanding + Financial Mathematics + Numerical Optimization + Stochastic Simulation + Software Engineering. By enforcing deterministic authority—where all metrics originate from audited Python engines and LLMs serve strictly to explain, debate, and synthesize—Tangent guarantees that every decision is traceable to verified empirical data.</w:t>
      </w:r>
    </w:p>
    <w:p>
      <w:pPr>
        <w:keepNext/>
        <w:spacing w:before="360" w:after="120"/>
      </w:pPr>
      <w:r>
        <w:rPr>
          <w:rFonts w:ascii="Calibri" w:hAnsi="Calibri"/>
          <w:b/>
          <w:color w:val="0F172A"/>
          <w:sz w:val="36"/>
        </w:rPr>
        <w:t>4. Objectives</w:t>
      </w:r>
    </w:p>
    <w:tbl>
      <w:tblPr>
        <w:tblW w:type="auto" w:w="0"/>
        <w:jc w:val="center"/>
        <w:tblLayout w:type="fixed"/>
        <w:tblLook w:firstColumn="1" w:firstRow="1" w:lastColumn="0" w:lastRow="0" w:noHBand="0" w:noVBand="1" w:val="04A0"/>
      </w:tblPr>
      <w:tblGrid>
        <w:gridCol w:w="4680"/>
        <w:gridCol w:w="4680"/>
      </w:tblGrid>
      <w:tr>
        <w:tc>
          <w:tcPr>
            <w:tcW w:type="dxa" w:w="3600"/>
            <w:shd w:fill="1E293B"/>
            <w:tcMar>
              <w:top w:w="120" w:type="dxa"/>
              <w:bottom w:w="120" w:type="dxa"/>
              <w:left w:w="140" w:type="dxa"/>
              <w:right w:w="140" w:type="dxa"/>
            </w:tcMar>
          </w:tcPr>
          <w:p>
            <w:pPr>
              <w:jc w:val="left"/>
            </w:pPr>
            <w:r>
              <w:rPr>
                <w:rFonts w:ascii="Calibri" w:hAnsi="Calibri"/>
                <w:b/>
                <w:color w:val="FFFFFF"/>
                <w:sz w:val="19"/>
              </w:rPr>
              <w:t>Objective</w:t>
            </w:r>
          </w:p>
        </w:tc>
        <w:tc>
          <w:tcPr>
            <w:tcW w:type="dxa" w:w="6480"/>
            <w:shd w:fill="1E293B"/>
            <w:tcMar>
              <w:top w:w="120" w:type="dxa"/>
              <w:bottom w:w="120" w:type="dxa"/>
              <w:left w:w="140" w:type="dxa"/>
              <w:right w:w="140" w:type="dxa"/>
            </w:tcMar>
          </w:tcPr>
          <w:p>
            <w:pPr>
              <w:jc w:val="left"/>
            </w:pPr>
            <w:r>
              <w:rPr>
                <w:rFonts w:ascii="Calibri" w:hAnsi="Calibri"/>
                <w:b/>
                <w:color w:val="FFFFFF"/>
                <w:sz w:val="19"/>
              </w:rPr>
              <w:t>Detailed Scope &amp; Technical Implementation</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 Dynamic Investor Profiling</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Calculate mathematical risk tolerance scores (1–10) and define asset-class allocation bounds (equity, debt, commodities, cash) based on age and horizon.</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 Comprehensive Asset Universe</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Curate and ingest a 74-asset institutional universe across 8 asset classes, including Indian Nifty 50, US ETFs, commodities, bonds, REITs, and FDs.</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3. Regulatory &amp; Feasibility Constraints</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Enforce real-world investment limits: 100% full investment equality, individual asset caps (15%), equity sector caps (25%), and long-only bounds.</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4. Deterministic Statistical Processing</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Compute monthly log returns, annualized volatility, Ledoit-Wolf covariance shrinkage, and blended post-tax real returns.</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5. Efficient Frontier Construction</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Generate the risk-return Pareto frontier across asset combinations to visualize optimal trade-offs.</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6. Multi-Start Deterministic SLSQP Solver</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Implement Sequential Least Squares Programming with 5 randomized sparse initializations to converge on the global maximum Sharpe ratio.</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7. Stochastic Monte Carlo Exploration</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Simulate 1,000–10,000 geometric Brownian motion wealth paths across 1–30 year horizons, evaluating median, 95% CI, and max drawdown.</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 Crisis Stress Testing Engine</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Model portfolio drawdowns against historical shocks (2008 GFC, 2020 COVID, 2022 Rate Spike, 1970s Stagflation, 2000 Dot-com).</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9. Walk-Forward Out-of-Sample Backtesting</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Compare four classic MPT strategies (Max-Sharpe Sample, Max-Sharpe Ledoit-Wolf, Min-Variance, Equal Weight) across rolling time windows.</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10. Multi-Agent Expert Arena</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Deploy five strictly bounded economic personas (Macro, Value, Quant, Austrian, ESG) in a structured deliberative debate with consensus synthesis.</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11. Always-Available 1-on-1 Consultation</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Provide direct interactive access to any expert persona at any time without requiring a prior debate session.</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12. Traceable Decision Briefs &amp; Critic</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Package metrics into an immutable Evidence Pack ([E1]–[E9]) audited by an automated Critic within ±0.5% numerical tolerance.</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13. Draww Institutional Co-Pilot</w:t>
            </w:r>
          </w:p>
        </w:tc>
        <w:tc>
          <w:tcPr>
            <w:tcW w:type="dxa" w:w="64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Provide a contextual portfolio assistant with real-time visibility into optimized weights, returns, and backtest results.</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14. Containerized Microservice Monorepo</w:t>
            </w:r>
          </w:p>
        </w:tc>
        <w:tc>
          <w:tcPr>
            <w:tcW w:type="dxa" w:w="64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Implement an isolated-package monorepo with 6 FastAPI services, Docker Compose, Alembic schema migrations, and Next.js 16 App Router UI.</w:t>
            </w:r>
          </w:p>
        </w:tc>
      </w:tr>
    </w:tbl>
    <w:p/>
    <w:p>
      <w:pPr>
        <w:keepNext/>
        <w:spacing w:before="360" w:after="120"/>
      </w:pPr>
      <w:r>
        <w:rPr>
          <w:rFonts w:ascii="Calibri" w:hAnsi="Calibri"/>
          <w:b/>
          <w:color w:val="0F172A"/>
          <w:sz w:val="36"/>
        </w:rPr>
        <w:t>5. Scope</w:t>
      </w:r>
    </w:p>
    <w:p>
      <w:pPr>
        <w:keepNext/>
        <w:spacing w:before="240" w:after="80"/>
      </w:pPr>
      <w:r>
        <w:rPr>
          <w:rFonts w:ascii="Calibri" w:hAnsi="Calibri"/>
          <w:b/>
          <w:color w:val="1E293B"/>
          <w:sz w:val="27"/>
        </w:rPr>
        <w:t>5.1 In Scope (Implemented Capabilities)</w:t>
      </w:r>
    </w:p>
    <w:p>
      <w:r>
        <w:t>• End-to-end multi-asset portfolio optimization with real-world tax and inflation models.</w:t>
        <w:br/>
        <w:t>• 74 curated securities with empirical historical data and deterministic synthetic accrual models.</w:t>
        <w:br/>
        <w:t>• Multi-start SciPy SLSQP solver, Ledoit-Wolf shrinkage, and Monte Carlo wealth projections.</w:t>
        <w:br/>
        <w:t>• Walk-Forward rolling backtest lab and historical crisis stress testing.</w:t>
        <w:br/>
        <w:t>• Multi-agent deliberative Arena with 5 bounded economic ideologies and Groq Llama 3.3 70B inference.</w:t>
        <w:br/>
        <w:t>• Traceable Evidence Pack pipeline with automated Critic claim verification.</w:t>
        <w:br/>
        <w:t>• Contextual Draww portfolio co-pilot and single-click CSV/JSON investor export.</w:t>
        <w:br/>
        <w:t>• 6 Dockerized FastAPI microservices, PostgreSQL with schema-per-service isolation, and Next.js 16 UI.</w:t>
      </w:r>
    </w:p>
    <w:p>
      <w:pPr>
        <w:keepNext/>
        <w:spacing w:before="240" w:after="80"/>
      </w:pPr>
      <w:r>
        <w:rPr>
          <w:rFonts w:ascii="Calibri" w:hAnsi="Calibri"/>
          <w:b/>
          <w:color w:val="1E293B"/>
          <w:sz w:val="27"/>
        </w:rPr>
        <w:t>5.2 Out of Scope (Architecturally Excluded)</w:t>
      </w:r>
    </w:p>
    <w:p>
      <w:r>
        <w:t>• Real-time brokerage execution or direct order placement (Tangent is strictly educational decision support).</w:t>
        <w:br/>
        <w:t>• Guaranteed investment returns or deterministic future price predictions.</w:t>
        <w:br/>
        <w:t>• High-Frequency Trading (HFT) or intraday tick-level order book modeling (focus is on daily/monthly horizons).</w:t>
        <w:br/>
        <w:t>• Personalized legal or statutory tax advice (tax formulas are standardized simulation parameters).</w:t>
        <w:br/>
        <w:t>• Mandatory commercial SaaS billing and multi-tenant paywalls (guest-first open architecture).</w:t>
      </w:r>
    </w:p>
    <w:p>
      <w:pPr>
        <w:keepNext/>
        <w:spacing w:before="360" w:after="120"/>
      </w:pPr>
      <w:r>
        <w:rPr>
          <w:rFonts w:ascii="Calibri" w:hAnsi="Calibri"/>
          <w:b/>
          <w:color w:val="0F172A"/>
          <w:sz w:val="36"/>
        </w:rPr>
        <w:t>6. Existing Approaches and Gap Analysis</w:t>
      </w:r>
    </w:p>
    <w:p>
      <w:r>
        <w:t>Traditional retail wealth management typically falls into one of four paradigms: manual ad-hoc allocation, static rule-based portfolios (e.g., target-date funds), classical academic Markowitz mean-variance optimizers, or contemporary LLM chatbots. Each paradigm suffers from fundamental deficiencies when applied to individual decision-making.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E293B"/>
            <w:tcMar>
              <w:top w:w="120" w:type="dxa"/>
              <w:bottom w:w="120" w:type="dxa"/>
              <w:left w:w="140" w:type="dxa"/>
              <w:right w:w="140" w:type="dxa"/>
            </w:tcMar>
          </w:tcPr>
          <w:p>
            <w:pPr>
              <w:jc w:val="left"/>
            </w:pPr>
            <w:r>
              <w:rPr>
                <w:rFonts w:ascii="Calibri" w:hAnsi="Calibri"/>
                <w:b/>
                <w:color w:val="FFFFFF"/>
                <w:sz w:val="19"/>
              </w:rPr>
              <w:t>Approach</w:t>
            </w:r>
          </w:p>
        </w:tc>
        <w:tc>
          <w:tcPr>
            <w:tcW w:type="dxa" w:w="1296"/>
            <w:shd w:fill="1E293B"/>
            <w:tcMar>
              <w:top w:w="120" w:type="dxa"/>
              <w:bottom w:w="120" w:type="dxa"/>
              <w:left w:w="140" w:type="dxa"/>
              <w:right w:w="140" w:type="dxa"/>
            </w:tcMar>
          </w:tcPr>
          <w:p>
            <w:pPr>
              <w:jc w:val="left"/>
            </w:pPr>
            <w:r>
              <w:rPr>
                <w:rFonts w:ascii="Calibri" w:hAnsi="Calibri"/>
                <w:b/>
                <w:color w:val="FFFFFF"/>
                <w:sz w:val="19"/>
              </w:rPr>
              <w:t>Personalization</w:t>
            </w:r>
          </w:p>
        </w:tc>
        <w:tc>
          <w:tcPr>
            <w:tcW w:type="dxa" w:w="1584"/>
            <w:shd w:fill="1E293B"/>
            <w:tcMar>
              <w:top w:w="120" w:type="dxa"/>
              <w:bottom w:w="120" w:type="dxa"/>
              <w:left w:w="140" w:type="dxa"/>
              <w:right w:w="140" w:type="dxa"/>
            </w:tcMar>
          </w:tcPr>
          <w:p>
            <w:pPr>
              <w:jc w:val="left"/>
            </w:pPr>
            <w:r>
              <w:rPr>
                <w:rFonts w:ascii="Calibri" w:hAnsi="Calibri"/>
                <w:b/>
                <w:color w:val="FFFFFF"/>
                <w:sz w:val="19"/>
              </w:rPr>
              <w:t>Optimization</w:t>
            </w:r>
          </w:p>
        </w:tc>
        <w:tc>
          <w:tcPr>
            <w:tcW w:type="dxa" w:w="1152"/>
            <w:shd w:fill="1E293B"/>
            <w:tcMar>
              <w:top w:w="120" w:type="dxa"/>
              <w:bottom w:w="120" w:type="dxa"/>
              <w:left w:w="140" w:type="dxa"/>
              <w:right w:w="140" w:type="dxa"/>
            </w:tcMar>
          </w:tcPr>
          <w:p>
            <w:pPr>
              <w:jc w:val="left"/>
            </w:pPr>
            <w:r>
              <w:rPr>
                <w:rFonts w:ascii="Calibri" w:hAnsi="Calibri"/>
                <w:b/>
                <w:color w:val="FFFFFF"/>
                <w:sz w:val="19"/>
              </w:rPr>
              <w:t>Simulation</w:t>
            </w:r>
          </w:p>
        </w:tc>
        <w:tc>
          <w:tcPr>
            <w:tcW w:type="dxa" w:w="1152"/>
            <w:shd w:fill="1E293B"/>
            <w:tcMar>
              <w:top w:w="120" w:type="dxa"/>
              <w:bottom w:w="120" w:type="dxa"/>
              <w:left w:w="140" w:type="dxa"/>
              <w:right w:w="140" w:type="dxa"/>
            </w:tcMar>
          </w:tcPr>
          <w:p>
            <w:pPr>
              <w:jc w:val="left"/>
            </w:pPr>
            <w:r>
              <w:rPr>
                <w:rFonts w:ascii="Calibri" w:hAnsi="Calibri"/>
                <w:b/>
                <w:color w:val="FFFFFF"/>
                <w:sz w:val="19"/>
              </w:rPr>
              <w:t>Risk Analysis</w:t>
            </w:r>
          </w:p>
        </w:tc>
        <w:tc>
          <w:tcPr>
            <w:tcW w:type="dxa" w:w="1584"/>
            <w:shd w:fill="1E293B"/>
            <w:tcMar>
              <w:top w:w="120" w:type="dxa"/>
              <w:bottom w:w="120" w:type="dxa"/>
              <w:left w:w="140" w:type="dxa"/>
              <w:right w:w="140" w:type="dxa"/>
            </w:tcMar>
          </w:tcPr>
          <w:p>
            <w:pPr>
              <w:jc w:val="left"/>
            </w:pPr>
            <w:r>
              <w:rPr>
                <w:rFonts w:ascii="Calibri" w:hAnsi="Calibri"/>
                <w:b/>
                <w:color w:val="FFFFFF"/>
                <w:sz w:val="19"/>
              </w:rPr>
              <w:t>Explainability</w:t>
            </w:r>
          </w:p>
        </w:tc>
        <w:tc>
          <w:tcPr>
            <w:tcW w:type="dxa" w:w="2304"/>
            <w:shd w:fill="1E293B"/>
            <w:tcMar>
              <w:top w:w="120" w:type="dxa"/>
              <w:bottom w:w="120" w:type="dxa"/>
              <w:left w:w="140" w:type="dxa"/>
              <w:right w:w="140" w:type="dxa"/>
            </w:tcMar>
          </w:tcPr>
          <w:p>
            <w:pPr>
              <w:jc w:val="left"/>
            </w:pPr>
            <w:r>
              <w:rPr>
                <w:rFonts w:ascii="Calibri" w:hAnsi="Calibri"/>
                <w:b/>
                <w:color w:val="FFFFFF"/>
                <w:sz w:val="19"/>
              </w:rPr>
              <w:t>Core Structural Deficiency</w:t>
            </w:r>
          </w:p>
        </w:tc>
      </w:tr>
      <w:tr>
        <w:tc>
          <w:tcPr>
            <w:tcW w:type="dxa" w:w="172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Manual / Rule-Based Allocation</w:t>
            </w:r>
          </w:p>
        </w:tc>
        <w:tc>
          <w:tcPr>
            <w:tcW w:type="dxa" w:w="1296"/>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Low (Generic)</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None</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None</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Low</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 (Heuristic)</w:t>
            </w:r>
          </w:p>
        </w:tc>
        <w:tc>
          <w:tcPr>
            <w:tcW w:type="dxa" w:w="230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Neglects correlations and dynamic risk; prone to emotional bias.</w:t>
            </w:r>
          </w:p>
        </w:tc>
      </w:tr>
      <w:tr>
        <w:tc>
          <w:tcPr>
            <w:tcW w:type="dxa" w:w="172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Classical Markowitz MPT</w:t>
            </w:r>
          </w:p>
        </w:tc>
        <w:tc>
          <w:tcPr>
            <w:tcW w:type="dxa" w:w="1296"/>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(Sample Cov)</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Low</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Low (Black-Box Math)</w:t>
            </w:r>
          </w:p>
        </w:tc>
        <w:tc>
          <w:tcPr>
            <w:tcW w:type="dxa" w:w="230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Sample covariance is noisy; weights concentrate unrealistically.</w:t>
            </w:r>
          </w:p>
        </w:tc>
      </w:tr>
      <w:tr>
        <w:tc>
          <w:tcPr>
            <w:tcW w:type="dxa" w:w="172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Commercial Robo-Advisors</w:t>
            </w:r>
          </w:p>
        </w:tc>
        <w:tc>
          <w:tcPr>
            <w:tcW w:type="dxa" w:w="1296"/>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Very Low (Proprietary)</w:t>
            </w:r>
          </w:p>
        </w:tc>
        <w:tc>
          <w:tcPr>
            <w:tcW w:type="dxa" w:w="230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Opaque fee models; static buckets; no audit trail or debate.</w:t>
            </w:r>
          </w:p>
        </w:tc>
      </w:tr>
      <w:tr>
        <w:tc>
          <w:tcPr>
            <w:tcW w:type="dxa" w:w="172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Generic LLM Chatbots</w:t>
            </w:r>
          </w:p>
        </w:tc>
        <w:tc>
          <w:tcPr>
            <w:tcW w:type="dxa" w:w="1296"/>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(Conversational)</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None</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None</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None</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Zero (Hallucinatory)</w:t>
            </w:r>
          </w:p>
        </w:tc>
        <w:tc>
          <w:tcPr>
            <w:tcW w:type="dxa" w:w="230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Hallucinates financial returns and Sharpe metrics; no proof.</w:t>
            </w:r>
          </w:p>
        </w:tc>
      </w:tr>
      <w:tr>
        <w:tc>
          <w:tcPr>
            <w:tcW w:type="dxa" w:w="172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Tangent Decision Platform</w:t>
            </w:r>
          </w:p>
        </w:tc>
        <w:tc>
          <w:tcPr>
            <w:tcW w:type="dxa" w:w="1296"/>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(Dynamic Wizard)</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(SLSQP + Ledoit-Wolf)</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(GBM Paths)</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(Crises + Stress)</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 (Critic + Arena + [E1]–[E9])</w:t>
            </w:r>
          </w:p>
        </w:tc>
        <w:tc>
          <w:tcPr>
            <w:tcW w:type="dxa" w:w="230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Combines deterministic math with verified multi-agent explanation.</w:t>
            </w:r>
          </w:p>
        </w:tc>
      </w:tr>
    </w:tbl>
    <w:p/>
    <w:p>
      <w:pPr>
        <w:keepNext/>
        <w:spacing w:before="360" w:after="120"/>
      </w:pPr>
      <w:r>
        <w:rPr>
          <w:rFonts w:ascii="Calibri" w:hAnsi="Calibri"/>
          <w:b/>
          <w:color w:val="0F172A"/>
          <w:sz w:val="36"/>
        </w:rPr>
        <w:t>7. Proposed Solution</w:t>
      </w:r>
    </w:p>
    <w:p>
      <w:r>
        <w:t>Tangent implements a disciplined, multi-stage end-to-end processing pipeline that guarantees mathematical integrity before initiating any qualitative agent synthesis. The pipeline operates in the following sequential order:</w:t>
      </w:r>
    </w:p>
    <w:p>
      <w:r>
        <w:t>1. Investor Profiling &amp; Horizon Capture: Captures age, horizon, and target risk score (1–10) to establish mathematical asset-class bounds.</w:t>
        <w:br/>
        <w:t>2. Asset Universe Selection: Filters the 74-asset universe by preferred categories or activates 'Unbiased All-Asset Mode'.</w:t>
        <w:br/>
        <w:t>3. Market Data Ingest &amp; In-Memory Caching: Retrieves monthly adjusted prices from Yahoo Finance or 24-hour PostgreSQL cache, running synthetic yield models for fixed income.</w:t>
        <w:br/>
        <w:t>4. Statistical Feature Extraction: Converts monthly price series to log returns, computes Ledoit-Wolf covariance shrinkage, and calculates blended tax and inflation adjustments.</w:t>
        <w:br/>
        <w:t>5. Deterministic SLSQP Max-Sharpe Optimization: Executes multi-start constrained optimization with regulatory asset caps (15%) and sector caps (25%).</w:t>
        <w:br/>
        <w:t>6. Stochastic Monte Carlo Exploration: Simulates 1,000–10,000 geometric Brownian motion wealth paths across 1–30 years.</w:t>
        <w:br/>
        <w:t>7. Out-of-Sample Backtesting &amp; Crisis Replay: Evaluates rolling performance against 4 classic strategies and subjects weights to historical crises.</w:t>
        <w:br/>
        <w:t>8. Immutable Evidence Pack Construction: Packages exact deterministic metrics into audited items ([E1]–[E9]).</w:t>
        <w:br/>
        <w:t>9. Multi-Agent Deliberation &amp; Critic Review: Bull/Bear agents debate in the Arena, the Critic audits numeric claims within ±0.5%, and consensus is synthesized.</w:t>
        <w:br/>
        <w:t>10. Contextual Consultation &amp; Investor Export: Enables direct 1-on-1 dialogue with expert personas or Draww, with single-click CSV/JSON export.</w:t>
      </w:r>
    </w:p>
    <w:p>
      <w:pPr>
        <w:spacing w:before="120" w:after="160"/>
        <w:ind w:left="360" w:right="360"/>
      </w:pPr>
      <w:r>
        <w:rPr>
          <w:b/>
          <w:color w:val="2563EB"/>
          <w:sz w:val="19"/>
        </w:rPr>
        <w:t xml:space="preserve">ARCHITECTURAL INVARIANT: </w:t>
      </w:r>
      <w:r>
        <w:rPr>
          <w:i/>
          <w:color w:val="334155"/>
          <w:sz w:val="19"/>
        </w:rPr>
        <w:t>This strict ordering ensures that LLMs NEVER calculate or modify numbers. Numbers flow strictly downstream from deterministic Python microservices into the qualitative presentation layer.</w:t>
      </w:r>
    </w:p>
    <w:p>
      <w:pPr>
        <w:keepNext/>
        <w:spacing w:before="360" w:after="120"/>
      </w:pPr>
      <w:r>
        <w:rPr>
          <w:rFonts w:ascii="Calibri" w:hAnsi="Calibri"/>
          <w:b/>
          <w:color w:val="0F172A"/>
          <w:sz w:val="36"/>
        </w:rPr>
        <w:t>8. System Architecture</w:t>
      </w:r>
    </w:p>
    <w:p>
      <w:r>
        <w:t>Tangent is organized around six decoupled FastAPI backend microservices, a Next.js 16 App Router frontend, a shared PostgreSQL 16 cluster with schema isolation, and Redis 7 for caching and rate limiting.</w:t>
      </w:r>
    </w:p>
    <w:p>
      <w:r>
        <w:t>```</w:t>
        <w:br/>
        <w:t xml:space="preserve">                             [ Next.js 16 Web App ] (Port 3000)</w:t>
        <w:br/>
        <w:t xml:space="preserve">                                       │</w:t>
        <w:br/>
        <w:t xml:space="preserve">                                       ▼</w:t>
        <w:br/>
        <w:t xml:space="preserve">                        [ API Gateway (FastAPI, Port 8000) ]</w:t>
        <w:br/>
        <w:t xml:space="preserve">                       (JWT Auth, Rate Limiter, Reverse Proxy)</w:t>
        <w:br/>
        <w:t xml:space="preserve">                                       │</w:t>
        <w:br/>
        <w:t xml:space="preserve">          ┌───────────────┬────────────┼───────────┬───────────────┐</w:t>
        <w:br/>
        <w:t xml:space="preserve">          ▼               ▼            ▼           ▼               ▼</w:t>
        <w:br/>
        <w:t xml:space="preserve">    [ Market-Data ]    [ Quant ]  [ Portfolio ] [ Sentiment ]   [ Agent ]</w:t>
        <w:br/>
        <w:t xml:space="preserve">      (Port 8001)    (Port 8002)   (Port 8003)   (Port 8004)   (Port 8005)</w:t>
        <w:br/>
        <w:t xml:space="preserve">          │               │            │           │               │</w:t>
        <w:br/>
        <w:t xml:space="preserve">          └───────────────┴─────┬──────┴───────────┴───────────────┘</w:t>
        <w:br/>
        <w:t xml:space="preserve">                                ▼</w:t>
        <w:br/>
        <w:t xml:space="preserve">                  [ PostgreSQL 16 + Redis 7 ]</w:t>
        <w:br/>
        <w:t xml:space="preserve">                   (Schema-per-service isolation)</w:t>
        <w:br/>
        <w: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293B"/>
            <w:tcMar>
              <w:top w:w="120" w:type="dxa"/>
              <w:bottom w:w="120" w:type="dxa"/>
              <w:left w:w="140" w:type="dxa"/>
              <w:right w:w="140" w:type="dxa"/>
            </w:tcMar>
          </w:tcPr>
          <w:p>
            <w:pPr>
              <w:jc w:val="left"/>
            </w:pPr>
            <w:r>
              <w:rPr>
                <w:rFonts w:ascii="Calibri" w:hAnsi="Calibri"/>
                <w:b/>
                <w:color w:val="FFFFFF"/>
                <w:sz w:val="19"/>
              </w:rPr>
              <w:t>Service</w:t>
            </w:r>
          </w:p>
        </w:tc>
        <w:tc>
          <w:tcPr>
            <w:tcW w:type="dxa" w:w="864"/>
            <w:shd w:fill="1E293B"/>
            <w:tcMar>
              <w:top w:w="120" w:type="dxa"/>
              <w:bottom w:w="120" w:type="dxa"/>
              <w:left w:w="140" w:type="dxa"/>
              <w:right w:w="140" w:type="dxa"/>
            </w:tcMar>
          </w:tcPr>
          <w:p>
            <w:pPr>
              <w:jc w:val="left"/>
            </w:pPr>
            <w:r>
              <w:rPr>
                <w:rFonts w:ascii="Calibri" w:hAnsi="Calibri"/>
                <w:b/>
                <w:color w:val="FFFFFF"/>
                <w:sz w:val="19"/>
              </w:rPr>
              <w:t>Port</w:t>
            </w:r>
          </w:p>
        </w:tc>
        <w:tc>
          <w:tcPr>
            <w:tcW w:type="dxa" w:w="3312"/>
            <w:shd w:fill="1E293B"/>
            <w:tcMar>
              <w:top w:w="120" w:type="dxa"/>
              <w:bottom w:w="120" w:type="dxa"/>
              <w:left w:w="140" w:type="dxa"/>
              <w:right w:w="140" w:type="dxa"/>
            </w:tcMar>
          </w:tcPr>
          <w:p>
            <w:pPr>
              <w:jc w:val="left"/>
            </w:pPr>
            <w:r>
              <w:rPr>
                <w:rFonts w:ascii="Calibri" w:hAnsi="Calibri"/>
                <w:b/>
                <w:color w:val="FFFFFF"/>
                <w:sz w:val="19"/>
              </w:rPr>
              <w:t>Core Responsibilities</w:t>
            </w:r>
          </w:p>
        </w:tc>
        <w:tc>
          <w:tcPr>
            <w:tcW w:type="dxa" w:w="2592"/>
            <w:shd w:fill="1E293B"/>
            <w:tcMar>
              <w:top w:w="120" w:type="dxa"/>
              <w:bottom w:w="120" w:type="dxa"/>
              <w:left w:w="140" w:type="dxa"/>
              <w:right w:w="140" w:type="dxa"/>
            </w:tcMar>
          </w:tcPr>
          <w:p>
            <w:pPr>
              <w:jc w:val="left"/>
            </w:pPr>
            <w:r>
              <w:rPr>
                <w:rFonts w:ascii="Calibri" w:hAnsi="Calibri"/>
                <w:b/>
                <w:color w:val="FFFFFF"/>
                <w:sz w:val="19"/>
              </w:rPr>
              <w:t>Technology Stack</w:t>
            </w:r>
          </w:p>
        </w:tc>
        <w:tc>
          <w:tcPr>
            <w:tcW w:type="dxa" w:w="1872"/>
            <w:shd w:fill="1E293B"/>
            <w:tcMar>
              <w:top w:w="120" w:type="dxa"/>
              <w:bottom w:w="120" w:type="dxa"/>
              <w:left w:w="140" w:type="dxa"/>
              <w:right w:w="140" w:type="dxa"/>
            </w:tcMar>
          </w:tcPr>
          <w:p>
            <w:pPr>
              <w:jc w:val="left"/>
            </w:pPr>
            <w:r>
              <w:rPr>
                <w:rFonts w:ascii="Calibri" w:hAnsi="Calibri"/>
                <w:b/>
                <w:color w:val="FFFFFF"/>
                <w:sz w:val="19"/>
              </w:rPr>
              <w:t>Data Store</w:t>
            </w:r>
          </w:p>
        </w:tc>
      </w:tr>
      <w:tr>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w:t>
            </w:r>
          </w:p>
        </w:tc>
        <w:tc>
          <w:tcPr>
            <w:tcW w:type="dxa" w:w="86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3000</w:t>
            </w:r>
          </w:p>
        </w:tc>
        <w:tc>
          <w:tcPr>
            <w:tcW w:type="dxa" w:w="331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Next.js 16 App Router UI, Vanilla CSS design system, Hero Homepage, Arena, Draww AI</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React 19, TypeScript, Vanilla CSS, Turbopack</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Stateless / LocalStorage</w:t>
            </w:r>
          </w:p>
        </w:tc>
      </w:tr>
      <w:tr>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gateway</w:t>
            </w:r>
          </w:p>
        </w:tc>
        <w:tc>
          <w:tcPr>
            <w:tcW w:type="dxa" w:w="86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8000</w:t>
            </w:r>
          </w:p>
        </w:tc>
        <w:tc>
          <w:tcPr>
            <w:tcW w:type="dxa" w:w="331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Unified entrypoint, guest JWT issuance, sliding-window rate limiter, reverse proxy</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PyJWT, HTTPX, Pydantic v2</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In-memory / Redis</w:t>
            </w:r>
          </w:p>
        </w:tc>
      </w:tr>
      <w:tr>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market-data</w:t>
            </w:r>
          </w:p>
        </w:tc>
        <w:tc>
          <w:tcPr>
            <w:tcW w:type="dxa" w:w="86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8001</w:t>
            </w:r>
          </w:p>
        </w:tc>
        <w:tc>
          <w:tcPr>
            <w:tcW w:type="dxa" w:w="331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74 curated assets across 8 classes, yfinance ingestion, 24h Postgres cache, synthetic bond accrual</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SQLAlchemy, Pandas, yfinance</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PostgreSQL (market_data schema)</w:t>
            </w:r>
          </w:p>
        </w:tc>
      </w:tr>
      <w:tr>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w:t>
            </w:r>
          </w:p>
        </w:tc>
        <w:tc>
          <w:tcPr>
            <w:tcW w:type="dxa" w:w="86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8002</w:t>
            </w:r>
          </w:p>
        </w:tc>
        <w:tc>
          <w:tcPr>
            <w:tcW w:type="dxa" w:w="331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SciPy SLSQP Max-Sharpe, Ledoit-Wolf shrinkage, Monte Carlo projections, Walk-Forward Backtest</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NumPy, SciPy, Scikit-learn</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Stateless (CPU-bound)</w:t>
            </w:r>
          </w:p>
        </w:tc>
      </w:tr>
      <w:tr>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portfolio</w:t>
            </w:r>
          </w:p>
        </w:tc>
        <w:tc>
          <w:tcPr>
            <w:tcW w:type="dxa" w:w="86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8003</w:t>
            </w:r>
          </w:p>
        </w:tc>
        <w:tc>
          <w:tcPr>
            <w:tcW w:type="dxa" w:w="331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Guest profiles, saved allocations, execution audit trails</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SQLAlchemy, Alembic</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PostgreSQL (portfolio schema)</w:t>
            </w:r>
          </w:p>
        </w:tc>
      </w:tr>
      <w:tr>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sentiment</w:t>
            </w:r>
          </w:p>
        </w:tc>
        <w:tc>
          <w:tcPr>
            <w:tcW w:type="dxa" w:w="86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8004</w:t>
            </w:r>
          </w:p>
        </w:tc>
        <w:tc>
          <w:tcPr>
            <w:tcW w:type="dxa" w:w="331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Zero-key RSS news ingest (Google News, ET), content-hash cache, lexicon sentiment scoring</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Feedparser, HTTPX</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Stateless / Cache</w:t>
            </w:r>
          </w:p>
        </w:tc>
      </w:tr>
      <w:tr>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agent</w:t>
            </w:r>
          </w:p>
        </w:tc>
        <w:tc>
          <w:tcPr>
            <w:tcW w:type="dxa" w:w="86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8005</w:t>
            </w:r>
          </w:p>
        </w:tc>
        <w:tc>
          <w:tcPr>
            <w:tcW w:type="dxa" w:w="331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EvidencePack extraction ([E1]–[E9]), Bull/Bear/Synthesizer agents, Critic review, SSE streaming</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LiteLLM, Groq / Gemini</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In-memory cache</w:t>
            </w:r>
          </w:p>
        </w:tc>
      </w:tr>
    </w:tbl>
    <w:p/>
    <w:p>
      <w:pPr>
        <w:keepNext/>
        <w:spacing w:before="360" w:after="120"/>
      </w:pPr>
      <w:r>
        <w:rPr>
          <w:rFonts w:ascii="Calibri" w:hAnsi="Calibri"/>
          <w:b/>
          <w:color w:val="0F172A"/>
          <w:sz w:val="36"/>
        </w:rPr>
        <w:t>9. Monorepo Architecture</w:t>
      </w:r>
    </w:p>
    <w:p>
      <w:r>
        <w:t>Tangent utilizes an isolated-package monorepo managed via Astral uv workspaces for Python services and npm workspaces for the Next.js frontend. This architecture provides critical engineering benefits:</w:t>
      </w:r>
    </w:p>
    <w:p>
      <w:r>
        <w:t>• Shared Library Contracts (`libs/contracts`): Pydantic models define immutable schemas for asset definitions, optimization requests, marginal impact deltas, and evidence packs across all microservice boundaries, eliminating schema drift.</w:t>
        <w:br/>
        <w:t>• Shared Utilities (`libs/common`): Provides structured JSON logging, resilient HTTP clients with correlation header propagation (`X-Request-Id`), and environment configuration loaders.</w:t>
        <w:br/>
        <w:t>• LiteLLM Provider Wrapper (`libs/llm`): Provider-agnostic wrapper supporting primary Groq models with automatic fallback to Gemini Flash and offline fixtures.</w:t>
        <w:br/>
        <w:t>• Atomic Cross-Service Changes: Updates to optimization data structures or contracts are version-controlled in a single commit across both backend services and frontend components.</w:t>
      </w:r>
    </w:p>
    <w:p>
      <w:pPr>
        <w:keepNext/>
        <w:spacing w:before="360" w:after="120"/>
      </w:pPr>
      <w:r>
        <w:rPr>
          <w:rFonts w:ascii="Calibri" w:hAnsi="Calibri"/>
          <w:b/>
          <w:color w:val="0F172A"/>
          <w:sz w:val="36"/>
        </w:rPr>
        <w:t>10. Dockerized Microservices Architecture</w:t>
      </w:r>
    </w:p>
    <w:p>
      <w:r>
        <w:t>Every microservice is containerized using multi-stage, non-root Dockerfiles based on `python:3.12-slim`. A dedicated `appuser` (UID 10001) executes the FastAPI runtime, ensuring principle of least privilege. The platform supports two operational execution modes:</w:t>
      </w:r>
    </w:p>
    <w:p>
      <w:r>
        <w:t>1. Hybrid Development Mode (Default Local Dev): PostgreSQL and Redis run containerized via `docker compose up -d db redis`, while application microservices and the Next.js frontend run natively in PowerShell with instant hot-reloading (`uv run uvicorn ... --reload` and `npm run dev`).</w:t>
        <w:br/>
        <w:t>2. Fully Containerized Mode (Production / Staging): All six backend services, web frontend, PostgreSQL, and Redis run inside an isolated Docker bridge network (`tangent-network`) configured in `infra/compose/docker-compose.yml`.</w:t>
      </w:r>
    </w:p>
    <w:p>
      <w:pPr>
        <w:keepNext/>
        <w:spacing w:before="360" w:after="120"/>
      </w:pPr>
      <w:r>
        <w:rPr>
          <w:rFonts w:ascii="Calibri" w:hAnsi="Calibri"/>
          <w:b/>
          <w:color w:val="0F172A"/>
          <w:sz w:val="36"/>
        </w:rPr>
        <w:t>11.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jc w:val="left"/>
            </w:pPr>
            <w:r>
              <w:rPr>
                <w:rFonts w:ascii="Calibri" w:hAnsi="Calibri"/>
                <w:b/>
                <w:color w:val="FFFFFF"/>
                <w:sz w:val="19"/>
              </w:rPr>
              <w:t>Architecture Layer</w:t>
            </w:r>
          </w:p>
        </w:tc>
        <w:tc>
          <w:tcPr>
            <w:tcW w:type="dxa" w:w="3168"/>
            <w:shd w:fill="1E293B"/>
            <w:tcMar>
              <w:top w:w="120" w:type="dxa"/>
              <w:bottom w:w="120" w:type="dxa"/>
              <w:left w:w="140" w:type="dxa"/>
              <w:right w:w="140" w:type="dxa"/>
            </w:tcMar>
          </w:tcPr>
          <w:p>
            <w:pPr>
              <w:jc w:val="left"/>
            </w:pPr>
            <w:r>
              <w:rPr>
                <w:rFonts w:ascii="Calibri" w:hAnsi="Calibri"/>
                <w:b/>
                <w:color w:val="FFFFFF"/>
                <w:sz w:val="19"/>
              </w:rPr>
              <w:t>Primary Technologies</w:t>
            </w:r>
          </w:p>
        </w:tc>
        <w:tc>
          <w:tcPr>
            <w:tcW w:type="dxa" w:w="4752"/>
            <w:shd w:fill="1E293B"/>
            <w:tcMar>
              <w:top w:w="120" w:type="dxa"/>
              <w:bottom w:w="120" w:type="dxa"/>
              <w:left w:w="140" w:type="dxa"/>
              <w:right w:w="140" w:type="dxa"/>
            </w:tcMar>
          </w:tcPr>
          <w:p>
            <w:pPr>
              <w:jc w:val="left"/>
            </w:pPr>
            <w:r>
              <w:rPr>
                <w:rFonts w:ascii="Calibri" w:hAnsi="Calibri"/>
                <w:b/>
                <w:color w:val="FFFFFF"/>
                <w:sz w:val="19"/>
              </w:rPr>
              <w:t>Selection Rationale &amp; Purpose</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Web Frontend</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Next.js 16, React 19, TypeScript, Vanilla CSS</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Ultra-fast App Router interface with responsive layouts, CSS micro-animations, and Turbopack.</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API Gateway &amp; Services</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FastAPI 0.115, Python 3.12, Uvicorn</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High-performance asynchronous microservice framework with automatic OpenAPI documentation.</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Numerical &amp; Optimization</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NumPy, SciPy (SLSQP), Scikit-Learn (Ledoit-Wolf)</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Deterministic mathematical foundation for constrained non-linear optimization and shrinkage.</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Data Manipulation</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Pandas 2.2</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Time-series resample, monthly log return calculation, correlation matrix analysis.</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Primary Database</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PostgreSQL 16, SQLAlchemy 2.0, Alembic</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Relational persistence with schema-per-service isolation (`portfolio.*`, `market_data.*`).</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Caching &amp; Rate Limiting</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Redis 7</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24-hour market data caching, content-hash deduplication, sliding-window rate limiting.</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LLM Orchestration</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Groq (Llama 3.3 70B), Google Gemini Flash, LiteLLM</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Dual-tier LLM architecture providing real-world live market reasoning and deterministic fallbacks.</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Package &amp; Task Runner</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Astral uv, npm, Justfile</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Sub-second Python dependency resolution, unified workspace management, cross-platform task runner.</w:t>
            </w:r>
          </w:p>
        </w:tc>
      </w:tr>
    </w:tbl>
    <w:p/>
    <w:p>
      <w:pPr>
        <w:keepNext/>
        <w:spacing w:before="360" w:after="120"/>
      </w:pPr>
      <w:r>
        <w:rPr>
          <w:rFonts w:ascii="Calibri" w:hAnsi="Calibri"/>
          <w:b/>
          <w:color w:val="0F172A"/>
          <w:sz w:val="36"/>
        </w:rPr>
        <w:t>12. Investor Profiling Module</w:t>
      </w:r>
    </w:p>
    <w:p>
      <w:r>
        <w:t>The Investor Profiling Module converts subjective user inputs into objective mathematical boundary constraints. The system evaluates age, investment horizon (years), and risk tolerance (1–10) to compute asset class allocation bounds:</w:t>
      </w:r>
    </w:p>
    <w:p>
      <w:r>
        <w:t>• Conservative (Risk 1–3): Equity Max = 30%, Debt Min = 60%, Cash Min = 10%, Alternative Max = 5%.</w:t>
        <w:br/>
        <w:t>• Moderate (Risk 4–7): Equity Bounds = [40%, 70%], Debt Bounds = [20%, 50%], Commodities / Alt Max = 15%.</w:t>
        <w:br/>
        <w:t>• Aggressive (Risk 8–10): Equity Bounds = [70%, 90%], Debt Min = 0%, Commodities / Crypto Max = 20%.</w:t>
      </w:r>
    </w:p>
    <w:p>
      <w:r>
        <w:t>Mathematically, the effective bounds are clamped against the available candidate universe to ensure feasibility: eff_eq_min = min(risk_profile.equity_min, len(eq_idx) * asset_cap), preventing unsolvable optimization constraints.</w:t>
      </w:r>
    </w:p>
    <w:p>
      <w:pPr>
        <w:keepNext/>
        <w:spacing w:before="360" w:after="120"/>
      </w:pPr>
      <w:r>
        <w:rPr>
          <w:rFonts w:ascii="Calibri" w:hAnsi="Calibri"/>
          <w:b/>
          <w:color w:val="0F172A"/>
          <w:sz w:val="36"/>
        </w:rPr>
        <w:t>13. Investment Universe and Constraints</w:t>
      </w:r>
    </w:p>
    <w:p>
      <w:r>
        <w:t>Tangent curates a production universe of 74 institutional assets categorized into 8 distinct domains:</w:t>
        <w:br/>
        <w:t>1. Indian Large Cap Equities (Nifty 50): RELIANCE.NS, TCS.NS, HDFCBANK.NS, INFY.NS, ICICIBANK.NS, ITC.NS, BHARTIARTL.NS, LT.NS, etc.</w:t>
        <w:br/>
        <w:t>2. Indian Benchmark Indices: ^NSEI (Nifty 50), ^NSEBANK (Bank Nifty), ^CNXIT (Nifty IT).</w:t>
        <w:br/>
        <w:t>3. US Index &amp; Sector ETFs: SPY (S&amp;P 500), QQQ (Nasdaq 100), EEM (Emerging Markets), VT (Total World), USMV (Min Volatility).</w:t>
        <w:br/>
        <w:t>4. Commodities: GOLDBEES.NS (Physical Gold ETF), SILVERBEES.NS, GLD, SLV.</w:t>
        <w:br/>
        <w:t>5. Sovereign &amp; Corporate Debt: INDIA_GOVT_10Y (7.2% synthetic accrual), INDIA_CORP_AAA (8.0% accrual).</w:t>
        <w:br/>
        <w:t>6. Synthetic Fixed Income &amp; Cash: SBI_FD (7.0% fixed yield), HDFC_FD (7.1% fixed yield), LIQUID_BEES (Cash equivalent).</w:t>
        <w:br/>
        <w:t>7. Real Estate Investment Trusts (REITs): EMBASSY_REIT (Embassy Office Parks), MINDSPACE_REIT, BROOKFIELD_REIT.</w:t>
        <w:br/>
        <w:t>8. Digital Assets: BTC-USD (Bitcoin), ETH-USD (Ethereum).</w:t>
      </w:r>
    </w:p>
    <w:p>
      <w:r>
        <w:t>Core Optimization Constraints Enforced:</w:t>
        <w:br/>
        <w:t>• Full Investment: Σ w_i = 1.0 (equality constraint).</w:t>
        <w:br/>
        <w:t>• Individual Asset Cap: 0 &lt;= w_i &lt;= 0.15 (prevents excessive concentration in single winners).</w:t>
        <w:br/>
        <w:t>• Equity Sector Cap: Σ w_i (for sector s) &lt;= 0.25 (limits exposure to any single sector, e.g. Banking or Tech).</w:t>
        <w:br/>
        <w:t>• Long-Only Constraint: w_i &gt;= 0.0 (no unhedged leverage or short selling for retail suitability).</w:t>
      </w:r>
    </w:p>
    <w:p>
      <w:pPr>
        <w:keepNext/>
        <w:spacing w:before="360" w:after="120"/>
      </w:pPr>
      <w:r>
        <w:rPr>
          <w:rFonts w:ascii="Calibri" w:hAnsi="Calibri"/>
          <w:b/>
          <w:color w:val="0F172A"/>
          <w:sz w:val="36"/>
        </w:rPr>
        <w:t>14. Market Data and Statistical Engine</w:t>
      </w:r>
    </w:p>
    <w:p>
      <w:r>
        <w:t>The statistical engine ingests historical daily close price series, resampling them to calendar month-end values to calculate monthly log returns: r_t = ln(P_t / P_{t-1}). Log returns are additive across time, symmetric, and statistically well-behaved.</w:t>
      </w:r>
    </w:p>
    <w:p>
      <w:r>
        <w:t>Covariance Shrinkage (Ledoit-Wolf):</w:t>
        <w:br/>
        <w:t>Sample covariance matrices calculated from empirical asset histories contain substantial sample error, especially when the number of assets N approaches the number of time periods T. Tangent applies the Ledoit-Wolf shrinkage estimator:</w:t>
        <w:br/>
        <w:t>Σ_shrunk = δ F + (1 - δ) S</w:t>
        <w:br/>
        <w:t>where S is the sample covariance matrix, F is a structured single-index target matrix, and δ in [0, 1] is the optimal shrinkage intensity.</w:t>
      </w:r>
    </w:p>
    <w:p>
      <w:r>
        <w:t>Real Return Formulation with Statutory Tax Drag:</w:t>
        <w:br/>
        <w:t>R_raw = 12 * (wᵀ μ)</w:t>
        <w:br/>
        <w:t>Tax_blended = (w_eq * 0.125) + (w_debt * 0.30) + (w_alt * 0.125)</w:t>
        <w:br/>
        <w:t>Tax_drag = R_raw * Tax_blended</w:t>
        <w:br/>
        <w:t>R_real = R_raw - Tax_drag - Turnover_penalty - Inflation_rate (6.0%)</w:t>
        <w:br/>
        <w:t>Volatility: σ_p = sqrt(wᵀ Σ w) * sqrt(12)</w:t>
        <w:br/>
        <w:t>Sharpe Ratio: Sharpe_real = R_real / σ_p</w:t>
      </w:r>
    </w:p>
    <w:p>
      <w:pPr>
        <w:keepNext/>
        <w:spacing w:before="360" w:after="120"/>
      </w:pPr>
      <w:r>
        <w:rPr>
          <w:rFonts w:ascii="Calibri" w:hAnsi="Calibri"/>
          <w:b/>
          <w:color w:val="0F172A"/>
          <w:sz w:val="36"/>
        </w:rPr>
        <w:t>15. Efficient Frontier</w:t>
      </w:r>
    </w:p>
    <w:p>
      <w:r>
        <w:t>The Efficient Frontier represents the set of optimal portfolios that offer the highest expected return for a defined level of risk, or the lowest risk for a given level of return. In Tangent, the frontier is mapped across varying target return points by solving quadratic programming sub-problems subject to the investor's linear constraints. Portfolios lying below the frontier are sub-optimal, while points to the right exhibit uncompensated volatility.</w:t>
      </w:r>
    </w:p>
    <w:p>
      <w:pPr>
        <w:keepNext/>
        <w:spacing w:before="360" w:after="120"/>
      </w:pPr>
      <w:r>
        <w:rPr>
          <w:rFonts w:ascii="Calibri" w:hAnsi="Calibri"/>
          <w:b/>
          <w:color w:val="0F172A"/>
          <w:sz w:val="36"/>
        </w:rPr>
        <w:t>16. Deterministic Max-Sharpe Solver</w:t>
      </w:r>
    </w:p>
    <w:p>
      <w:r>
        <w:t>The optimization engine minimizes the negative real Sharpe ratio (-Sharpe_real) using the Sequential Least Squares Programming (SLSQP) algorithm from `scipy.optimize`. Because non-linear optimization with multiple inequality constraints can encounter local minima or gradient stagnation, Tangent implements a Multi-Start Strategy:</w:t>
      </w:r>
    </w:p>
    <w:p>
      <w:r>
        <w:t>1. Uniform Initial Guess: w_0 = [1/n, 1/n, ..., 1/n].</w:t>
        <w:br/>
        <w:t>2. Randomized Sparse Initializations: Generates 5 distinct randomized initial vectors. When the candidate universe exceeds 15 assets, the engine randomly samples subsets of 8–12 assets to encourage sparsity and prevent fractional dust allocations.</w:t>
        <w:br/>
        <w:t>3. Solution Convergence &amp; Selection: Each starting point is optimized with SLSQP (max_iter=500, ftol=1e-9). The engine validates all constraint residuals and selects the weight vector that yields the strictly maximal real Sharpe ratio.</w:t>
      </w:r>
    </w:p>
    <w:p>
      <w:pPr>
        <w:keepNext/>
        <w:spacing w:before="360" w:after="120"/>
      </w:pPr>
      <w:r>
        <w:rPr>
          <w:rFonts w:ascii="Calibri" w:hAnsi="Calibri"/>
          <w:b/>
          <w:color w:val="0F172A"/>
          <w:sz w:val="36"/>
        </w:rPr>
        <w:t>17. Monte Carlo Simulation</w:t>
      </w:r>
    </w:p>
    <w:p>
      <w:r>
        <w:t>Tangent implements two distinct Monte Carlo methodologies for portfolio risk analysis:</w:t>
      </w:r>
    </w:p>
    <w:p>
      <w:r>
        <w:t>1. Portfolio Frontier Exploration: Generates 1,000–5,000 random Dirichlet weight combinations satisfying regulatory caps, plotting the cloud of achievable permutations against the computed Efficient Frontier to visualize optimization efficiency.</w:t>
        <w:br/>
        <w:t>2. Future Wealth Outcome Simulation: Models multi-year wealth accumulation trajectories using geometric Brownian motion (GBM). For annual drift μ_real and annualized volatility σ_p, the discrete path evolution follows:</w:t>
        <w:br/>
        <w:t>W_{t+1} = (W_t + Contribution) * exp( (μ_real - 0.5 * σ_p^2) * Δt + σ_p * sqrt(Δt) * Z_t )</w:t>
        <w:br/>
        <w:t>where Z_t ~ N(0, 1). The simulation evaluates 5,000 seeded, reproducible paths to compute the 5th percentile (stress outcome), 50th percentile (median outcome), 95th percentile (optimistic outcome), and maximum cumulative drawdown.</w:t>
      </w:r>
    </w:p>
    <w:p>
      <w:pPr>
        <w:keepNext/>
        <w:spacing w:before="360" w:after="120"/>
      </w:pPr>
      <w:r>
        <w:rPr>
          <w:rFonts w:ascii="Calibri" w:hAnsi="Calibri"/>
          <w:b/>
          <w:color w:val="0F172A"/>
          <w:sz w:val="36"/>
        </w:rPr>
        <w:t>18. Portfolio Selection Logic</w:t>
      </w:r>
    </w:p>
    <w:p>
      <w:r>
        <w:t>A critical principle of Tangent is that the mathematical Max-Sharpe portfolio is not blindly assigned as the final recommendation. An aggressive 100% equity allocation might offer the highest Sharpe ratio historically, but it violates the suitability requirements of a 62-year-old conservative retiree with a 3-year horizon. Tangent filters the frontier through the investor's risk profile, evaluating effective number of constituents (ENC = 1 / Σ w_i^2) to ensure a diversification score above 7.0/10.</w:t>
      </w:r>
    </w:p>
    <w:p>
      <w:pPr>
        <w:keepNext/>
        <w:spacing w:before="360" w:after="120"/>
      </w:pPr>
      <w:r>
        <w:rPr>
          <w:rFonts w:ascii="Calibri" w:hAnsi="Calibri"/>
          <w:b/>
          <w:color w:val="0F172A"/>
          <w:sz w:val="36"/>
        </w:rPr>
        <w:t>19. Backtesting and Validation</w:t>
      </w:r>
    </w:p>
    <w:p>
      <w:r>
        <w:t>The Walk-Forward Backtest Lab evaluates portfolio robustness out-of-sample across rolling historical windows (e.g., 36-month lookback, 12-month forward holding period). The engine compares four distinct strategies:</w:t>
        <w:br/>
        <w:t>1. Max-Sharpe (Sample Covariance): Classical Markowitz optimization.</w:t>
        <w:br/>
        <w:t>2. Max-Sharpe (Ledoit-Wolf Shrinkage): Covariance shrinkage to mitigate sample error.</w:t>
        <w:br/>
        <w:t>3. Minimum Variance: Focuses solely on volatility reduction without return estimation error.</w:t>
        <w:br/>
        <w:t>4. Equal Weight (1/N Benchmark): Naive baseline to evaluate if mathematical optimization generates true alpha.</w:t>
      </w:r>
    </w:p>
    <w:p>
      <w:pPr>
        <w:keepNext/>
        <w:spacing w:before="360" w:after="120"/>
      </w:pPr>
      <w:r>
        <w:rPr>
          <w:rFonts w:ascii="Calibri" w:hAnsi="Calibri"/>
          <w:b/>
          <w:color w:val="0F172A"/>
          <w:sz w:val="36"/>
        </w:rPr>
        <w:t>20. Stress Testing</w:t>
      </w:r>
    </w:p>
    <w:p>
      <w:r>
        <w:t>To evaluate tail-risk resilience beyond normal distribution assumptions, the Stress Testing engine subjects candidate portfolios to historical crisis scenarios: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left"/>
            </w:pPr>
            <w:r>
              <w:rPr>
                <w:rFonts w:ascii="Calibri" w:hAnsi="Calibri"/>
                <w:b/>
                <w:color w:val="FFFFFF"/>
                <w:sz w:val="19"/>
              </w:rPr>
              <w:t>Crisis Scenario</w:t>
            </w:r>
          </w:p>
        </w:tc>
        <w:tc>
          <w:tcPr>
            <w:tcW w:type="dxa" w:w="2592"/>
            <w:shd w:fill="1E293B"/>
            <w:tcMar>
              <w:top w:w="120" w:type="dxa"/>
              <w:bottom w:w="120" w:type="dxa"/>
              <w:left w:w="140" w:type="dxa"/>
              <w:right w:w="140" w:type="dxa"/>
            </w:tcMar>
          </w:tcPr>
          <w:p>
            <w:pPr>
              <w:jc w:val="left"/>
            </w:pPr>
            <w:r>
              <w:rPr>
                <w:rFonts w:ascii="Calibri" w:hAnsi="Calibri"/>
                <w:b/>
                <w:color w:val="FFFFFF"/>
                <w:sz w:val="19"/>
              </w:rPr>
              <w:t>Historical Market Dynamics</w:t>
            </w:r>
          </w:p>
        </w:tc>
        <w:tc>
          <w:tcPr>
            <w:tcW w:type="dxa" w:w="2448"/>
            <w:shd w:fill="1E293B"/>
            <w:tcMar>
              <w:top w:w="120" w:type="dxa"/>
              <w:bottom w:w="120" w:type="dxa"/>
              <w:left w:w="140" w:type="dxa"/>
              <w:right w:w="140" w:type="dxa"/>
            </w:tcMar>
          </w:tcPr>
          <w:p>
            <w:pPr>
              <w:jc w:val="left"/>
            </w:pPr>
            <w:r>
              <w:rPr>
                <w:rFonts w:ascii="Calibri" w:hAnsi="Calibri"/>
                <w:b/>
                <w:color w:val="FFFFFF"/>
                <w:sz w:val="19"/>
              </w:rPr>
              <w:t>Asset Class Impact Assumptions</w:t>
            </w:r>
          </w:p>
        </w:tc>
        <w:tc>
          <w:tcPr>
            <w:tcW w:type="dxa" w:w="2448"/>
            <w:shd w:fill="1E293B"/>
            <w:tcMar>
              <w:top w:w="120" w:type="dxa"/>
              <w:bottom w:w="120" w:type="dxa"/>
              <w:left w:w="140" w:type="dxa"/>
              <w:right w:w="140" w:type="dxa"/>
            </w:tcMar>
          </w:tcPr>
          <w:p>
            <w:pPr>
              <w:jc w:val="left"/>
            </w:pPr>
            <w:r>
              <w:rPr>
                <w:rFonts w:ascii="Calibri" w:hAnsi="Calibri"/>
                <w:b/>
                <w:color w:val="FFFFFF"/>
                <w:sz w:val="19"/>
              </w:rPr>
              <w:t>Stress Test Evaluation Purpose</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2008 Global Financial Crisis (GFC)</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Severe liquidity freeze, global equity collapse, credit spread widening.</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-45% to -55% Equity, +15% Gold, +8% Sovereign Debt</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Tests flight-to-safety buffering via debt and precious metals.</w:t>
            </w:r>
          </w:p>
        </w:tc>
      </w:tr>
      <w:tr>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2020 COVID-19 Flash Crash</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Rapid global demand shock, synchronized multi-asset liquidation.</w:t>
            </w:r>
          </w:p>
        </w:tc>
        <w:tc>
          <w:tcPr>
            <w:tcW w:type="dxa" w:w="244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-35% Equity, -15% Commodities, 0% Cash / FDs</w:t>
            </w:r>
          </w:p>
        </w:tc>
        <w:tc>
          <w:tcPr>
            <w:tcW w:type="dxa" w:w="244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Validates cash liquidity buffers and rapid recovery characteristics.</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2022 Fed Rate Hike &amp; Inflation Shock</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Simultaneous bond and equity sell-off driven by aggressive interest rate hikes.</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-20% Equity, -18% Long Bonds, +22% Commodities</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Exposes traditional 60/40 failure; highlights commodity/FD resilience.</w:t>
            </w:r>
          </w:p>
        </w:tc>
      </w:tr>
      <w:tr>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1970s Stagflation Scenario</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Persistent high inflation combined with economic stagnation.</w:t>
            </w:r>
          </w:p>
        </w:tc>
        <w:tc>
          <w:tcPr>
            <w:tcW w:type="dxa" w:w="244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-15% Real Equity, -25% Real Bonds, +35% Gold / Oil</w:t>
            </w:r>
          </w:p>
        </w:tc>
        <w:tc>
          <w:tcPr>
            <w:tcW w:type="dxa" w:w="244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Validates inflation-adjusted purchasing power preservation.</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2000 Dot-com Tech Bubble Burst</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Severe valuation contraction concentrated in technology and speculative growth.</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-75% Tech Equities, +10% Value / Dividend, +5% Bonds</w:t>
            </w:r>
          </w:p>
        </w:tc>
        <w:tc>
          <w:tcPr>
            <w:tcW w:type="dxa" w:w="244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Demonstrates the necessity of 25% sector caps and value diversification.</w:t>
            </w:r>
          </w:p>
        </w:tc>
      </w:tr>
    </w:tbl>
    <w:p/>
    <w:p>
      <w:pPr>
        <w:keepNext/>
        <w:spacing w:before="360" w:after="120"/>
      </w:pPr>
      <w:r>
        <w:rPr>
          <w:rFonts w:ascii="Calibri" w:hAnsi="Calibri"/>
          <w:b/>
          <w:color w:val="0F172A"/>
          <w:sz w:val="36"/>
        </w:rPr>
        <w:t>21. Novel and Differentiating Features</w:t>
      </w:r>
    </w:p>
    <w:p>
      <w:r>
        <w:t>Tangent introduces several novel architectural and product innovations that differentiate it from existing financial platforms:</w:t>
        <w:br/>
        <w:t>1. The Expert Committee Arena: An interactive multi-agent deliberative debate stream simulating an investment committee. Five strictly bounded economic personas debate any user query sequentially and reach an institutional consensus:</w:t>
        <w:br/>
        <w:t xml:space="preserve">   • Macro &amp; Sovereign Rates: Focuses on central bank liquidity, interest rate cycles, and yield curves.</w:t>
        <w:br/>
        <w:t xml:space="preserve">   • Deep Value &amp; Margin of Safety: Evaluates balance sheet solvency, free cash flow yields, and downside valuation floors.</w:t>
        <w:br/>
        <w:t xml:space="preserve">   • Quant Momentum &amp; Factor Risk: Analyzes trend autocorrelation, volatility regimes, and factor crowding.</w:t>
        <w:br/>
        <w:t xml:space="preserve">   • Austrian Sound Money &amp; Hedging: Focuses on hard monetary assets, fiat currency debasement, and physical commodity backing.</w:t>
        <w:br/>
        <w:t xml:space="preserve">   • ESG &amp; Long-Horizon Stewardship: Assesses regulatory headwinds, climate transition costs, and governance tail-risks.</w:t>
        <w:br/>
        <w:t>2. Direct 1-on-1 Persona Consultation: Users can consult with any specific expert persona at any time without running a committee debate.</w:t>
        <w:br/>
        <w:t>3. Draww Portfolio Co-Pilot: Context-aware assistant with real-time access to user allocations, backtests, and citations.</w:t>
        <w:br/>
        <w:t>4. Automated Critic Verification: Every agent brief is audited against an immutable Evidence Pack ([E1]–[E9]). Any numerical claim diverging beyond ±0.5% tolerance or containing directive advice is rejected.</w:t>
        <w:br/>
        <w:t>5. Unbiased All-Asset Mode: Allows the optimizer to freely select the global mathematical maximum across all 74 assets without user bias.</w:t>
      </w:r>
    </w:p>
    <w:p>
      <w:pPr>
        <w:keepNext/>
        <w:spacing w:before="360" w:after="120"/>
      </w:pPr>
      <w:r>
        <w:rPr>
          <w:rFonts w:ascii="Calibri" w:hAnsi="Calibri"/>
          <w:b/>
          <w:color w:val="0F172A"/>
          <w:sz w:val="36"/>
        </w:rPr>
        <w:t>22. Results</w:t>
      </w:r>
    </w:p>
    <w:p>
      <w:r>
        <w:t>The following empirical results were obtained from the deterministic optimization engine and golden test suite:</w:t>
      </w:r>
    </w:p>
    <w:p>
      <w:pPr>
        <w:keepNext/>
        <w:spacing w:before="240" w:after="80"/>
      </w:pPr>
      <w:r>
        <w:rPr>
          <w:rFonts w:ascii="Calibri" w:hAnsi="Calibri"/>
          <w:b/>
          <w:color w:val="1E293B"/>
          <w:sz w:val="27"/>
        </w:rPr>
        <w:t>22.1 Golden Optimizer Benchmark Results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E293B"/>
            <w:tcMar>
              <w:top w:w="120" w:type="dxa"/>
              <w:bottom w:w="120" w:type="dxa"/>
              <w:left w:w="140" w:type="dxa"/>
              <w:right w:w="140" w:type="dxa"/>
            </w:tcMar>
          </w:tcPr>
          <w:p>
            <w:pPr>
              <w:jc w:val="left"/>
            </w:pPr>
            <w:r>
              <w:rPr>
                <w:rFonts w:ascii="Calibri" w:hAnsi="Calibri"/>
                <w:b/>
                <w:color w:val="FFFFFF"/>
                <w:sz w:val="19"/>
              </w:rPr>
              <w:t>Strategy / Profile</w:t>
            </w:r>
          </w:p>
        </w:tc>
        <w:tc>
          <w:tcPr>
            <w:tcW w:type="dxa" w:w="1152"/>
            <w:shd w:fill="1E293B"/>
            <w:tcMar>
              <w:top w:w="120" w:type="dxa"/>
              <w:bottom w:w="120" w:type="dxa"/>
              <w:left w:w="140" w:type="dxa"/>
              <w:right w:w="140" w:type="dxa"/>
            </w:tcMar>
          </w:tcPr>
          <w:p>
            <w:pPr>
              <w:jc w:val="left"/>
            </w:pPr>
            <w:r>
              <w:rPr>
                <w:rFonts w:ascii="Calibri" w:hAnsi="Calibri"/>
                <w:b/>
                <w:color w:val="FFFFFF"/>
                <w:sz w:val="19"/>
              </w:rPr>
              <w:t>Nominal Return</w:t>
            </w:r>
          </w:p>
        </w:tc>
        <w:tc>
          <w:tcPr>
            <w:tcW w:type="dxa" w:w="1152"/>
            <w:shd w:fill="1E293B"/>
            <w:tcMar>
              <w:top w:w="120" w:type="dxa"/>
              <w:bottom w:w="120" w:type="dxa"/>
              <w:left w:w="140" w:type="dxa"/>
              <w:right w:w="140" w:type="dxa"/>
            </w:tcMar>
          </w:tcPr>
          <w:p>
            <w:pPr>
              <w:jc w:val="left"/>
            </w:pPr>
            <w:r>
              <w:rPr>
                <w:rFonts w:ascii="Calibri" w:hAnsi="Calibri"/>
                <w:b/>
                <w:color w:val="FFFFFF"/>
                <w:sz w:val="19"/>
              </w:rPr>
              <w:t>Volatility</w:t>
            </w:r>
          </w:p>
        </w:tc>
        <w:tc>
          <w:tcPr>
            <w:tcW w:type="dxa" w:w="1152"/>
            <w:shd w:fill="1E293B"/>
            <w:tcMar>
              <w:top w:w="120" w:type="dxa"/>
              <w:bottom w:w="120" w:type="dxa"/>
              <w:left w:w="140" w:type="dxa"/>
              <w:right w:w="140" w:type="dxa"/>
            </w:tcMar>
          </w:tcPr>
          <w:p>
            <w:pPr>
              <w:jc w:val="left"/>
            </w:pPr>
            <w:r>
              <w:rPr>
                <w:rFonts w:ascii="Calibri" w:hAnsi="Calibri"/>
                <w:b/>
                <w:color w:val="FFFFFF"/>
                <w:sz w:val="19"/>
              </w:rPr>
              <w:t>Real Sharpe</w:t>
            </w:r>
          </w:p>
        </w:tc>
        <w:tc>
          <w:tcPr>
            <w:tcW w:type="dxa" w:w="1440"/>
            <w:shd w:fill="1E293B"/>
            <w:tcMar>
              <w:top w:w="120" w:type="dxa"/>
              <w:bottom w:w="120" w:type="dxa"/>
              <w:left w:w="140" w:type="dxa"/>
              <w:right w:w="140" w:type="dxa"/>
            </w:tcMar>
          </w:tcPr>
          <w:p>
            <w:pPr>
              <w:jc w:val="left"/>
            </w:pPr>
            <w:r>
              <w:rPr>
                <w:rFonts w:ascii="Calibri" w:hAnsi="Calibri"/>
                <w:b/>
                <w:color w:val="FFFFFF"/>
                <w:sz w:val="19"/>
              </w:rPr>
              <w:t>Diversification Score</w:t>
            </w:r>
          </w:p>
        </w:tc>
        <w:tc>
          <w:tcPr>
            <w:tcW w:type="dxa" w:w="1440"/>
            <w:shd w:fill="1E293B"/>
            <w:tcMar>
              <w:top w:w="120" w:type="dxa"/>
              <w:bottom w:w="120" w:type="dxa"/>
              <w:left w:w="140" w:type="dxa"/>
              <w:right w:w="140" w:type="dxa"/>
            </w:tcMar>
          </w:tcPr>
          <w:p>
            <w:pPr>
              <w:jc w:val="left"/>
            </w:pPr>
            <w:r>
              <w:rPr>
                <w:rFonts w:ascii="Calibri" w:hAnsi="Calibri"/>
                <w:b/>
                <w:color w:val="FFFFFF"/>
                <w:sz w:val="19"/>
              </w:rPr>
              <w:t>Max Drawdown (Hist)</w:t>
            </w:r>
          </w:p>
        </w:tc>
        <w:tc>
          <w:tcPr>
            <w:tcW w:type="dxa" w:w="1584"/>
            <w:shd w:fill="1E293B"/>
            <w:tcMar>
              <w:top w:w="120" w:type="dxa"/>
              <w:bottom w:w="120" w:type="dxa"/>
              <w:left w:w="140" w:type="dxa"/>
              <w:right w:w="140" w:type="dxa"/>
            </w:tcMar>
          </w:tcPr>
          <w:p>
            <w:pPr>
              <w:jc w:val="left"/>
            </w:pPr>
            <w:r>
              <w:rPr>
                <w:rFonts w:ascii="Calibri" w:hAnsi="Calibri"/>
                <w:b/>
                <w:color w:val="FFFFFF"/>
                <w:sz w:val="19"/>
              </w:rPr>
              <w:t>Sample Asset Weights</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Moderate Profile (Balanced)</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13.4%</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12.2%</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0.47</w:t>
            </w:r>
          </w:p>
        </w:tc>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10.0 / 10</w:t>
            </w:r>
          </w:p>
        </w:tc>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-14.2%</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RELIANCE.NS (15%), TCS.NS (15%), INDIA_GOVT_10Y (15%), GOLDBEES.NS (10%), SBI_FD (15%), HDFC_FD (15%), USMV (15%)</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Aggressive Profile (High Equity)</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15.2%</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16.5%</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0.55</w:t>
            </w:r>
          </w:p>
        </w:tc>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8.5 / 10</w:t>
            </w:r>
          </w:p>
        </w:tc>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-22.8%</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INFY.NS (15%), ICICIBANK.NS (15%), QQQ (15%), RELIANCE.NS (15%), BTC-USD (5%), GOLDBEES.NS (10%), LIQUID_BEES (25%)</w:t>
            </w:r>
          </w:p>
        </w:tc>
      </w:tr>
      <w:tr>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Conservative Profile (Capital Preserv)</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9.1%</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6.4%</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0.48</w:t>
            </w:r>
          </w:p>
        </w:tc>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10.0 / 10</w:t>
            </w:r>
          </w:p>
        </w:tc>
        <w:tc>
          <w:tcPr>
            <w:tcW w:type="dxa" w:w="144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-6.8%</w:t>
            </w:r>
          </w:p>
        </w:tc>
        <w:tc>
          <w:tcPr>
            <w:tcW w:type="dxa" w:w="1584"/>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SBI_FD (15%), HDFC_FD (15%), INDIA_GOVT_10Y (15%), INDIA_CORP_AAA (15%), LIQUID_BEES (15%), GOLDBEES.NS (10%), TCS.NS (15%)</w:t>
            </w:r>
          </w:p>
        </w:tc>
      </w:tr>
      <w:tr>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Equal-Weight 1/N Benchmark</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11.8%</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14.9%</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0.38</w:t>
            </w:r>
          </w:p>
        </w:tc>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10.0 / 10</w:t>
            </w:r>
          </w:p>
        </w:tc>
        <w:tc>
          <w:tcPr>
            <w:tcW w:type="dxa" w:w="144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-19.5%</w:t>
            </w:r>
          </w:p>
        </w:tc>
        <w:tc>
          <w:tcPr>
            <w:tcW w:type="dxa" w:w="1584"/>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Uniform distribution across candidate assets (No optimization)</w:t>
            </w:r>
          </w:p>
        </w:tc>
      </w:tr>
    </w:tbl>
    <w:p/>
    <w:p>
      <w:pPr>
        <w:keepNext/>
        <w:spacing w:before="240" w:after="80"/>
      </w:pPr>
      <w:r>
        <w:rPr>
          <w:rFonts w:ascii="Calibri" w:hAnsi="Calibri"/>
          <w:b/>
          <w:color w:val="1E293B"/>
          <w:sz w:val="27"/>
        </w:rPr>
        <w:t>22.2 Monte Carlo Wealth Simulation Output (Moderate Profile, 25-Year Horizon, ₹1,000,000 Initial)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E293B"/>
            <w:tcMar>
              <w:top w:w="120" w:type="dxa"/>
              <w:bottom w:w="120" w:type="dxa"/>
              <w:left w:w="140" w:type="dxa"/>
              <w:right w:w="140" w:type="dxa"/>
            </w:tcMar>
          </w:tcPr>
          <w:p>
            <w:pPr>
              <w:jc w:val="left"/>
            </w:pPr>
            <w:r>
              <w:rPr>
                <w:rFonts w:ascii="Calibri" w:hAnsi="Calibri"/>
                <w:b/>
                <w:color w:val="FFFFFF"/>
                <w:sz w:val="19"/>
              </w:rPr>
              <w:t>Simulation Metric</w:t>
            </w:r>
          </w:p>
        </w:tc>
        <w:tc>
          <w:tcPr>
            <w:tcW w:type="dxa" w:w="1872"/>
            <w:shd w:fill="1E293B"/>
            <w:tcMar>
              <w:top w:w="120" w:type="dxa"/>
              <w:bottom w:w="120" w:type="dxa"/>
              <w:left w:w="140" w:type="dxa"/>
              <w:right w:w="140" w:type="dxa"/>
            </w:tcMar>
          </w:tcPr>
          <w:p>
            <w:pPr>
              <w:jc w:val="left"/>
            </w:pPr>
            <w:r>
              <w:rPr>
                <w:rFonts w:ascii="Calibri" w:hAnsi="Calibri"/>
                <w:b/>
                <w:color w:val="FFFFFF"/>
                <w:sz w:val="19"/>
              </w:rPr>
              <w:t>Terminal Wealth</w:t>
            </w:r>
          </w:p>
        </w:tc>
        <w:tc>
          <w:tcPr>
            <w:tcW w:type="dxa" w:w="2016"/>
            <w:shd w:fill="1E293B"/>
            <w:tcMar>
              <w:top w:w="120" w:type="dxa"/>
              <w:bottom w:w="120" w:type="dxa"/>
              <w:left w:w="140" w:type="dxa"/>
              <w:right w:w="140" w:type="dxa"/>
            </w:tcMar>
          </w:tcPr>
          <w:p>
            <w:pPr>
              <w:jc w:val="left"/>
            </w:pPr>
            <w:r>
              <w:rPr>
                <w:rFonts w:ascii="Calibri" w:hAnsi="Calibri"/>
                <w:b/>
                <w:color w:val="FFFFFF"/>
                <w:sz w:val="19"/>
              </w:rPr>
              <w:t>Effective Real CAGR</w:t>
            </w:r>
          </w:p>
        </w:tc>
        <w:tc>
          <w:tcPr>
            <w:tcW w:type="dxa" w:w="2592"/>
            <w:shd w:fill="1E293B"/>
            <w:tcMar>
              <w:top w:w="120" w:type="dxa"/>
              <w:bottom w:w="120" w:type="dxa"/>
              <w:left w:w="140" w:type="dxa"/>
              <w:right w:w="140" w:type="dxa"/>
            </w:tcMar>
          </w:tcPr>
          <w:p>
            <w:pPr>
              <w:jc w:val="left"/>
            </w:pPr>
            <w:r>
              <w:rPr>
                <w:rFonts w:ascii="Calibri" w:hAnsi="Calibri"/>
                <w:b/>
                <w:color w:val="FFFFFF"/>
                <w:sz w:val="19"/>
              </w:rPr>
              <w:t>Analytical Interpretation</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5th Percentile (Stress Outcome)</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₹3,120,400</w:t>
            </w:r>
          </w:p>
        </w:tc>
        <w:tc>
          <w:tcPr>
            <w:tcW w:type="dxa" w:w="2016"/>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4.6% Annualized</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Worst-case persistent economic stagnation</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50th Percentile (Median Wealth Trajectory)</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₹8,450,200</w:t>
            </w:r>
          </w:p>
        </w:tc>
        <w:tc>
          <w:tcPr>
            <w:tcW w:type="dxa" w:w="2016"/>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8.9% Annualized</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Central expected compounding trajectory</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95th Percentile (Optimistic Outcome)</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₹21,830,000</w:t>
            </w:r>
          </w:p>
        </w:tc>
        <w:tc>
          <w:tcPr>
            <w:tcW w:type="dxa" w:w="2016"/>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13.1% Annualized</w:t>
            </w:r>
          </w:p>
        </w:tc>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Favorable market momentum &amp; compounding</w:t>
            </w:r>
          </w:p>
        </w:tc>
      </w:tr>
      <w:tr>
        <w:tc>
          <w:tcPr>
            <w:tcW w:type="dxa" w:w="360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Probability of Outperforming 6% Inflation</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96.4%</w:t>
            </w:r>
          </w:p>
        </w:tc>
        <w:tc>
          <w:tcPr>
            <w:tcW w:type="dxa" w:w="2016"/>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w:t>
            </w:r>
          </w:p>
        </w:tc>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Based on 5,000 seeded geometric Brownian motion paths</w:t>
            </w:r>
          </w:p>
        </w:tc>
      </w:tr>
    </w:tbl>
    <w:p/>
    <w:p>
      <w:pPr>
        <w:keepNext/>
        <w:spacing w:before="360" w:after="120"/>
      </w:pPr>
      <w:r>
        <w:rPr>
          <w:rFonts w:ascii="Calibri" w:hAnsi="Calibri"/>
          <w:b/>
          <w:color w:val="0F172A"/>
          <w:sz w:val="36"/>
        </w:rPr>
        <w:t>23. Screenshots and Visual Evidence</w:t>
      </w:r>
    </w:p>
    <w:p>
      <w:r>
        <w:t>The project repository contains visual evidence and UI artifacts captured across verified test sessions: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left"/>
            </w:pPr>
            <w:r>
              <w:rPr>
                <w:rFonts w:ascii="Calibri" w:hAnsi="Calibri"/>
                <w:b/>
                <w:color w:val="FFFFFF"/>
                <w:sz w:val="19"/>
              </w:rPr>
              <w:t>View / Component</w:t>
            </w:r>
          </w:p>
        </w:tc>
        <w:tc>
          <w:tcPr>
            <w:tcW w:type="dxa" w:w="3168"/>
            <w:shd w:fill="1E293B"/>
            <w:tcMar>
              <w:top w:w="120" w:type="dxa"/>
              <w:bottom w:w="120" w:type="dxa"/>
              <w:left w:w="140" w:type="dxa"/>
              <w:right w:w="140" w:type="dxa"/>
            </w:tcMar>
          </w:tcPr>
          <w:p>
            <w:pPr>
              <w:jc w:val="left"/>
            </w:pPr>
            <w:r>
              <w:rPr>
                <w:rFonts w:ascii="Calibri" w:hAnsi="Calibri"/>
                <w:b/>
                <w:color w:val="FFFFFF"/>
                <w:sz w:val="19"/>
              </w:rPr>
              <w:t>Implementation Source</w:t>
            </w:r>
          </w:p>
        </w:tc>
        <w:tc>
          <w:tcPr>
            <w:tcW w:type="dxa" w:w="4320"/>
            <w:shd w:fill="1E293B"/>
            <w:tcMar>
              <w:top w:w="120" w:type="dxa"/>
              <w:bottom w:w="120" w:type="dxa"/>
              <w:left w:w="140" w:type="dxa"/>
              <w:right w:w="140" w:type="dxa"/>
            </w:tcMar>
          </w:tcPr>
          <w:p>
            <w:pPr>
              <w:jc w:val="left"/>
            </w:pPr>
            <w:r>
              <w:rPr>
                <w:rFonts w:ascii="Calibri" w:hAnsi="Calibri"/>
                <w:b/>
                <w:color w:val="FFFFFF"/>
                <w:sz w:val="19"/>
              </w:rPr>
              <w:t>Visual Content &amp; Description</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Hero Homepage Overview</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apps/web/src/components/HeroHomepage.tsx</w:t>
            </w:r>
          </w:p>
        </w:tc>
        <w:tc>
          <w:tcPr>
            <w:tcW w:type="dxa" w:w="432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Institutional dark-mode landing view featuring ambient glows, platform live metrics (74 securities, 5k Monte Carlo, SLSQP solver), feature cards, and 3-way navigation redirects.</w:t>
            </w:r>
          </w:p>
        </w:tc>
      </w:tr>
      <w:tr>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Optimization Studio &amp; Asset Selector</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apps/web/src/components/AssetSelector.tsx</w:t>
            </w:r>
          </w:p>
        </w:tc>
        <w:tc>
          <w:tcPr>
            <w:tcW w:type="dxa" w:w="432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Asset universe selector supporting 74 multi-domain securities with category filters and 'Unbiased All-Asset Mode' toggle.</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Decision Studio &amp; Marginal Impact</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apps/web/src/components/OptimizationDashboard.tsx</w:t>
            </w:r>
          </w:p>
        </w:tc>
        <w:tc>
          <w:tcPr>
            <w:tcW w:type="dxa" w:w="432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Displays optimized asset weights, pie chart allocation, pre/post marginal impact deltas, and single-click CSV/JSON investor export buttons.</w:t>
            </w:r>
          </w:p>
        </w:tc>
      </w:tr>
      <w:tr>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Expert Committee Arena Stream</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apps/web/src/components/ArenaView.tsx</w:t>
            </w:r>
          </w:p>
        </w:tc>
        <w:tc>
          <w:tcPr>
            <w:tcW w:type="dxa" w:w="432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Sequential deliberative debate stream displaying real-time arguments from Macro, Value, Quant, Austrian, and ESG personas, concluding with consensus.</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1-on-1 Persona Consultation</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apps/web/src/components/ArenaView.tsx</w:t>
            </w:r>
          </w:p>
        </w:tc>
        <w:tc>
          <w:tcPr>
            <w:tcW w:type="dxa" w:w="432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Always-accessible interactive chat allowing targeted inquiry with any specific expert persona.</w:t>
            </w:r>
          </w:p>
        </w:tc>
      </w:tr>
      <w:tr>
        <w:tc>
          <w:tcPr>
            <w:tcW w:type="dxa" w:w="259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Draww Portfolio AI Co-Pilot</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apps/web/src/components/AIChatConcierge.tsx</w:t>
            </w:r>
          </w:p>
        </w:tc>
        <w:tc>
          <w:tcPr>
            <w:tcW w:type="dxa" w:w="432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Floating conversational co-pilot with deep context awareness into active allocations and clickable evidence citations ([E1]–[E9]).</w:t>
            </w:r>
          </w:p>
        </w:tc>
      </w:tr>
      <w:tr>
        <w:tc>
          <w:tcPr>
            <w:tcW w:type="dxa" w:w="259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Crisis Stress Testing &amp; Backtest Lab</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apps/web/src/components/BacktestStressTesting.tsx</w:t>
            </w:r>
          </w:p>
        </w:tc>
        <w:tc>
          <w:tcPr>
            <w:tcW w:type="dxa" w:w="432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Walk-forward strategy comparison chart and drawdown bars under 2008 GFC, 2020 COVID, and 2022 Rate Spike scenarios.</w:t>
            </w:r>
          </w:p>
        </w:tc>
      </w:tr>
    </w:tbl>
    <w:p/>
    <w:p>
      <w:pPr>
        <w:keepNext/>
        <w:spacing w:before="360" w:after="120"/>
      </w:pPr>
      <w:r>
        <w:rPr>
          <w:rFonts w:ascii="Calibri" w:hAnsi="Calibri"/>
          <w:b/>
          <w:color w:val="0F172A"/>
          <w:sz w:val="36"/>
        </w:rPr>
        <w:t>24. Testing</w:t>
      </w:r>
    </w:p>
    <w:p>
      <w:r>
        <w:t>Tangent maintains an automated test suite spanning unit, integration, and end-to-end system flows. During execution, 46 tests passed successfully across all microservices: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fill="1E293B"/>
            <w:tcMar>
              <w:top w:w="120" w:type="dxa"/>
              <w:bottom w:w="120" w:type="dxa"/>
              <w:left w:w="140" w:type="dxa"/>
              <w:right w:w="140" w:type="dxa"/>
            </w:tcMar>
          </w:tcPr>
          <w:p>
            <w:pPr>
              <w:jc w:val="left"/>
            </w:pPr>
            <w:r>
              <w:rPr>
                <w:rFonts w:ascii="Calibri" w:hAnsi="Calibri"/>
                <w:b/>
                <w:color w:val="FFFFFF"/>
                <w:sz w:val="19"/>
              </w:rPr>
              <w:t>Test Case</w:t>
            </w:r>
          </w:p>
        </w:tc>
        <w:tc>
          <w:tcPr>
            <w:tcW w:type="dxa" w:w="1152"/>
            <w:shd w:fill="1E293B"/>
            <w:tcMar>
              <w:top w:w="120" w:type="dxa"/>
              <w:bottom w:w="120" w:type="dxa"/>
              <w:left w:w="140" w:type="dxa"/>
              <w:right w:w="140" w:type="dxa"/>
            </w:tcMar>
          </w:tcPr>
          <w:p>
            <w:pPr>
              <w:jc w:val="left"/>
            </w:pPr>
            <w:r>
              <w:rPr>
                <w:rFonts w:ascii="Calibri" w:hAnsi="Calibri"/>
                <w:b/>
                <w:color w:val="FFFFFF"/>
                <w:sz w:val="19"/>
              </w:rPr>
              <w:t>Module</w:t>
            </w:r>
          </w:p>
        </w:tc>
        <w:tc>
          <w:tcPr>
            <w:tcW w:type="dxa" w:w="3168"/>
            <w:shd w:fill="1E293B"/>
            <w:tcMar>
              <w:top w:w="120" w:type="dxa"/>
              <w:bottom w:w="120" w:type="dxa"/>
              <w:left w:w="140" w:type="dxa"/>
              <w:right w:w="140" w:type="dxa"/>
            </w:tcMar>
          </w:tcPr>
          <w:p>
            <w:pPr>
              <w:jc w:val="left"/>
            </w:pPr>
            <w:r>
              <w:rPr>
                <w:rFonts w:ascii="Calibri" w:hAnsi="Calibri"/>
                <w:b/>
                <w:color w:val="FFFFFF"/>
                <w:sz w:val="19"/>
              </w:rPr>
              <w:t>Test Objective</w:t>
            </w:r>
          </w:p>
        </w:tc>
        <w:tc>
          <w:tcPr>
            <w:tcW w:type="dxa" w:w="1872"/>
            <w:shd w:fill="1E293B"/>
            <w:tcMar>
              <w:top w:w="120" w:type="dxa"/>
              <w:bottom w:w="120" w:type="dxa"/>
              <w:left w:w="140" w:type="dxa"/>
              <w:right w:w="140" w:type="dxa"/>
            </w:tcMar>
          </w:tcPr>
          <w:p>
            <w:pPr>
              <w:jc w:val="left"/>
            </w:pPr>
            <w:r>
              <w:rPr>
                <w:rFonts w:ascii="Calibri" w:hAnsi="Calibri"/>
                <w:b/>
                <w:color w:val="FFFFFF"/>
                <w:sz w:val="19"/>
              </w:rPr>
              <w:t>Observed Outcome</w:t>
            </w:r>
          </w:p>
        </w:tc>
        <w:tc>
          <w:tcPr>
            <w:tcW w:type="dxa" w:w="1008"/>
            <w:shd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28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test_constraints_and_caps_respected</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Verify that weights sum to 1.0, asset caps &lt;= 15%, and sector caps &lt;= 25%.</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All constraints strictly satisfied.</w:t>
            </w:r>
          </w:p>
        </w:tc>
        <w:tc>
          <w:tcPr>
            <w:tcW w:type="dxa" w:w="100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test_seed_reproducibility_monte_carlo</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Verify that identical seeds yield identical Monte Carlo percentile wealth paths.</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Numerical equivalence verified across runs.</w:t>
            </w:r>
          </w:p>
        </w:tc>
        <w:tc>
          <w:tcPr>
            <w:tcW w:type="dxa" w:w="100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test_golden_legacy_math_equivalence</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Validate that SLSQP real Sharpe calculations match audited golden values.</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Within 1e-6 numerical tolerance.</w:t>
            </w:r>
          </w:p>
        </w:tc>
        <w:tc>
          <w:tcPr>
            <w:tcW w:type="dxa" w:w="100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test_diversification_score_saturation</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Ensure inverse HHI diversification score scales monotonically up to 10.0.</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Saturation bounds respected.</w:t>
            </w:r>
          </w:p>
        </w:tc>
        <w:tc>
          <w:tcPr>
            <w:tcW w:type="dxa" w:w="100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test_evidence_pack_generation_and_ids</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agent</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Ensure EvidencePack builder packages metrics with immutable [E1]–[E9] IDs.</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Valid evidence pack emitted.</w:t>
            </w:r>
          </w:p>
        </w:tc>
        <w:tc>
          <w:tcPr>
            <w:tcW w:type="dxa" w:w="100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test_critic_review_valid_and_invalid</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agent</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 that Critic rejects claims diverging by &gt;0.5% or containing directive advice.</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Accurate validation and rejection.</w:t>
            </w:r>
          </w:p>
        </w:tc>
        <w:tc>
          <w:tcPr>
            <w:tcW w:type="dxa" w:w="100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test_gateway_guest_auth_and_limiter</w:t>
            </w:r>
          </w:p>
        </w:tc>
        <w:tc>
          <w:tcPr>
            <w:tcW w:type="dxa" w:w="11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gateway</w:t>
            </w:r>
          </w:p>
        </w:tc>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Validate guest JWT issuance and sliding-window rate limiting.</w:t>
            </w:r>
          </w:p>
        </w:tc>
        <w:tc>
          <w:tcPr>
            <w:tcW w:type="dxa" w:w="187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HTTP 200 on auth, 429 on abuse.</w:t>
            </w:r>
          </w:p>
        </w:tc>
        <w:tc>
          <w:tcPr>
            <w:tcW w:type="dxa" w:w="100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r>
        <w:tc>
          <w:tcPr>
            <w:tcW w:type="dxa" w:w="288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test_system_flow_end_to_end</w:t>
            </w:r>
          </w:p>
        </w:tc>
        <w:tc>
          <w:tcPr>
            <w:tcW w:type="dxa" w:w="11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e2e</w:t>
            </w:r>
          </w:p>
        </w:tc>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Execute full pipeline from guest auth -&gt; market data -&gt; optimize -&gt; brief generation.</w:t>
            </w:r>
          </w:p>
        </w:tc>
        <w:tc>
          <w:tcPr>
            <w:tcW w:type="dxa" w:w="187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Complete workflow completed.</w:t>
            </w:r>
          </w:p>
        </w:tc>
        <w:tc>
          <w:tcPr>
            <w:tcW w:type="dxa" w:w="100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PASSED</w:t>
            </w:r>
          </w:p>
        </w:tc>
      </w:tr>
    </w:tbl>
    <w:p/>
    <w:p>
      <w:pPr>
        <w:keepNext/>
        <w:spacing w:before="360" w:after="120"/>
      </w:pPr>
      <w:r>
        <w:rPr>
          <w:rFonts w:ascii="Calibri" w:hAnsi="Calibri"/>
          <w:b/>
          <w:color w:val="0F172A"/>
          <w:sz w:val="36"/>
        </w:rPr>
        <w:t>25. Security and Reliability</w:t>
      </w:r>
    </w:p>
    <w:p>
      <w:r>
        <w:t>• Non-Root Container Execution: Hardened containers run under UID 10001 (appuser) with read-only root filesystems where applicable.</w:t>
        <w:br/>
        <w:t>• Secret Detection &amp; Git Hooks: Pre-commit hooks enforce `detect-secrets` and Git baseline checks, ensuring zero raw API keys or private tokens are committed.</w:t>
        <w:br/>
        <w:t>• Sliding-Window Rate Limiting: The API Gateway enforces IP-based rate limiting (60 requests/minute) using in-memory / Redis buckets.</w:t>
        <w:br/>
        <w:t>• Deterministic Offline Fallbacks: In the event of external API outages (Yahoo Finance or LLM providers), the system automatically serves bundled offline fixtures and pre-computed evidence briefs without 500 errors.</w:t>
        <w:br/>
        <w:t>• Pydantic v2 Schema Validation: Strict type checking and boundary validation on every incoming HTTP request payload.</w:t>
      </w:r>
    </w:p>
    <w:p>
      <w:pPr>
        <w:keepNext/>
        <w:spacing w:before="360" w:after="120"/>
      </w:pPr>
      <w:r>
        <w:rPr>
          <w:rFonts w:ascii="Calibri" w:hAnsi="Calibri"/>
          <w:b/>
          <w:color w:val="0F172A"/>
          <w:sz w:val="36"/>
        </w:rPr>
        <w:t>26. Limitations</w:t>
      </w:r>
    </w:p>
    <w:p>
      <w:r>
        <w:t>A rigorous engineering evaluation acknowledges several inherent mathematical and practical limitations:</w:t>
        <w:br/>
        <w:t>1. Estimation Risk in Expected Returns: Historical returns are noisy estimators of future return expectations. While Ledoit-Wolf shrinkage stabilizes the covariance matrix, mean return estimates remain sensitive to historical regime changes.</w:t>
        <w:br/>
        <w:t>2. Static Inflation &amp; Tax Assumptions: Inflation is modeled at 6.0% and LTCG tax at 12.5%/30%; dynamic tax bracket shifts or changes in fiscal policy are not modeled in real time.</w:t>
        <w:br/>
        <w:t>3. Geometric Brownian Motion Distribution: GBM assumes log-normal returns with constant volatility, which can underestimate fat-tail black swan events (mitigated by the Crisis Stress Testing engine).</w:t>
        <w:br/>
        <w:t>4. End-of-Day Data Granularity: Market data is refreshed on a daily closing basis rather than tick-by-tick real-time data.</w:t>
      </w:r>
    </w:p>
    <w:p>
      <w:pPr>
        <w:keepNext/>
        <w:spacing w:before="360" w:after="120"/>
      </w:pPr>
      <w:r>
        <w:rPr>
          <w:rFonts w:ascii="Calibri" w:hAnsi="Calibri"/>
          <w:b/>
          <w:color w:val="0F172A"/>
          <w:sz w:val="36"/>
        </w:rPr>
        <w:t>27. Future Scope</w:t>
      </w:r>
    </w:p>
    <w:p>
      <w:r>
        <w:t>Future enhancements planned for subsequent releases include:</w:t>
        <w:br/>
        <w:t>• Black-Litterman Bayesian Asset Allocation: Combining market equilibrium priors with subjective investor views to improve return stability.</w:t>
        <w:br/>
        <w:t>• Conditional Value-at-Risk (CVaR) Optimization: Transitioning from variance minimization to tail-loss minimization.</w:t>
        <w:br/>
        <w:t>• Dynamic Automated Rebalancing Alerts: Tracking portfolio drift over time and alerting users when asset weights diverge beyond rebalancing thresholds.</w:t>
        <w:br/>
        <w:t>• Read-Only Broker Portfolio Sync: Secure OAuth integration with brokerages (Zerodha, Interactive Brokers) to import existing holdings.</w:t>
      </w:r>
    </w:p>
    <w:p>
      <w:pPr>
        <w:keepNext/>
        <w:spacing w:before="360" w:after="120"/>
      </w:pPr>
      <w:r>
        <w:rPr>
          <w:rFonts w:ascii="Calibri" w:hAnsi="Calibri"/>
          <w:b/>
          <w:color w:val="0F172A"/>
          <w:sz w:val="36"/>
        </w:rPr>
        <w:t>28. Impact</w:t>
      </w:r>
    </w:p>
    <w:p>
      <w:r>
        <w:t>• User Impact: Empowers retail investors to transition from speculative, emotional asset picking to disciplined, mathematically grounded portfolio construction with complete auditability.</w:t>
        <w:br/>
        <w:t>• Technical Impact: Proves the efficacy of combining deterministic numerical microservices with qualitative generative AI, demonstrating that LLMs can provide high-value synthesis without metric hallucination.</w:t>
        <w:br/>
        <w:t>• Educational &amp; Research Impact: Provides a production-grade reference architecture for universities and researchers demonstrating MPT, numerical optimization, stochastic simulation, and multi-agent systems.</w:t>
      </w:r>
    </w:p>
    <w:p>
      <w:pPr>
        <w:keepNext/>
        <w:spacing w:before="360" w:after="120"/>
      </w:pPr>
      <w:r>
        <w:rPr>
          <w:rFonts w:ascii="Calibri" w:hAnsi="Calibri"/>
          <w:b/>
          <w:color w:val="0F172A"/>
          <w:sz w:val="36"/>
        </w:rPr>
        <w:t>29. Conclusion</w:t>
      </w:r>
    </w:p>
    <w:p>
      <w:r>
        <w:t>Tangent demonstrates that quantitative financial rigor and user-centric artificial intelligence are not mutually exclusive. By grounding every AI claim in deterministic SciPy SLSQP optimization, Ledoit-Wolf covariance shrinkage, and empirical crisis data, the platform eliminates the black-box opacity and metric hallucination common in modern fintech. From its multi-agent Expert Arena to its stochastic Monte Carlo projections, Tangent establishes a dependable, transparent benchmark for the future of retail portfolio decision intelligence.</w:t>
      </w:r>
    </w:p>
    <w:p>
      <w:pPr>
        <w:keepNext/>
        <w:spacing w:before="360" w:after="120"/>
      </w:pPr>
      <w:r>
        <w:rPr>
          <w:rFonts w:ascii="Calibri" w:hAnsi="Calibri"/>
          <w:b/>
          <w:color w:val="0F172A"/>
          <w:sz w:val="36"/>
        </w:rPr>
        <w:t>30. References</w:t>
      </w:r>
    </w:p>
    <w:p>
      <w:r>
        <w:t>[1] Markowitz, H. (1952). 'Portfolio Selection'. The Journal of Finance, 7(1), 77-91.</w:t>
        <w:br/>
        <w:t>[2] Sharpe, W. F. (1966). 'Mutual Fund Performance'. The Journal of Business, 39(1), 119-138.</w:t>
        <w:br/>
        <w:t>[3] Ledoit, O., &amp; Wolf, M. (2004). 'A well-conditioned estimator for large-dimensional covariance matrices'. Journal of Multivariate Analysis, 88(2), 365-411.</w:t>
        <w:br/>
        <w:t>[4] Kraft, D. (1988). 'A software package for sequential quadratic programming'. Tech. Rep. DFVLR-FB 88-28, DLR German Aerospace Center.</w:t>
        <w:br/>
        <w:t>[5] Glasserman, P. (2004). 'Monte Carlo Methods in Financial Engineering'. Springer-Verlag, New York.</w:t>
        <w:br/>
        <w:t>[6] Tiwary, A., et al. (2020). 'FastAPI: High Performance Modern Web Framework for Building APIs with Python'.</w:t>
        <w:br/>
        <w:t>[7] Vercel Inc. (2024). 'Next.js 16 App Router Documentation and Architecture Guide'.</w:t>
      </w:r>
    </w:p>
    <w:p>
      <w:r>
        <w:br w:type="page"/>
      </w:r>
    </w:p>
    <w:p>
      <w:pPr>
        <w:keepNext/>
        <w:spacing w:before="360" w:after="120"/>
      </w:pPr>
      <w:r>
        <w:rPr>
          <w:rFonts w:ascii="Calibri" w:hAnsi="Calibri"/>
          <w:b/>
          <w:color w:val="0F172A"/>
          <w:sz w:val="36"/>
        </w:rPr>
        <w:t>Appendices</w:t>
      </w:r>
    </w:p>
    <w:p>
      <w:pPr>
        <w:keepNext/>
        <w:spacing w:before="240" w:after="80"/>
      </w:pPr>
      <w:r>
        <w:rPr>
          <w:rFonts w:ascii="Calibri" w:hAnsi="Calibri"/>
          <w:b/>
          <w:color w:val="1E293B"/>
          <w:sz w:val="27"/>
        </w:rPr>
        <w:t>Appendix A — Repository Structure</w:t>
      </w:r>
    </w:p>
    <w:p>
      <w:r>
        <w:t>```</w:t>
        <w:br/>
        <w:t>Tangent/</w:t>
        <w:br/>
        <w:t>├── apps/</w:t>
        <w:br/>
        <w:t>│   └── web/                   # Next.js 16 App Router (React 19, TypeScript, Turbopack)</w:t>
        <w:br/>
        <w:t>│       ├── src/app/           # App routes &amp; /api/groq live LLM proxy</w:t>
        <w:br/>
        <w:t>│       └── src/components/    # HeroHomepage, ArenaView, AIChatConcierge (Draww), etc.</w:t>
        <w:br/>
        <w:t>├── services/                  # 6 Standalone FastAPI Microservices</w:t>
        <w:br/>
        <w:t>│   ├── gateway/               # Port 8000 — JWT Auth, Rate Limiter, Reverse Proxy</w:t>
        <w:br/>
        <w:t>│   ├── market-data/           # Port 8001 — 74 Assets, yfinance, 24h Postgres cache</w:t>
        <w:br/>
        <w:t>│   ├── quant/                 # Port 8002 — SLSQP Max-Sharpe, Ledoit-Wolf, Monte Carlo</w:t>
        <w:br/>
        <w:t>│   ├── portfolio/             # Port 8003 — Postgres persistence &amp; user audit logs</w:t>
        <w:br/>
        <w:t>│   ├── sentiment/             # Port 8004 — RSS news ingest &amp; lexicon scoring</w:t>
        <w:br/>
        <w:t>│   └── agent/                 # Port 8005 — EvidencePack ([E1]–[E9]), Critic, SSE</w:t>
        <w:br/>
        <w:t>├── libs/                      # Shared Python Libraries (uv workspace)</w:t>
        <w:br/>
        <w:t>│   ├── contracts/             # Pydantic models across microservice boundaries</w:t>
        <w:br/>
        <w:t>│   ├── common/                # Structured JSON logging, resilient HTTP client</w:t>
        <w:br/>
        <w:t>│   └── llm/                   # LiteLLM provider wrapper with offline fixtures</w:t>
        <w:br/>
        <w:t>├── infra/</w:t>
        <w:br/>
        <w:t>│   ├── compose/               # Docker Compose environments</w:t>
        <w:br/>
        <w:t>│   ├── db/                    # Alembic migrations with per-service schema isolation</w:t>
        <w:br/>
        <w:t>│   └── deploy/                # Fly.io manifests and deployment scripts</w:t>
        <w:br/>
        <w:t>├── docs/                      # Architecture, ADRs, Scope, Runbooks, APIs</w:t>
        <w:br/>
        <w:t>├── pyproject.toml             # uv workspace root definition</w:t>
        <w:br/>
        <w:t>└── CHANGELOG.md               # Version history (v1.0.0, v1.1.0)</w:t>
        <w:br/>
        <w:t>```</w:t>
      </w:r>
    </w:p>
    <w:p>
      <w:pPr>
        <w:keepNext/>
        <w:spacing w:before="240" w:after="80"/>
      </w:pPr>
      <w:r>
        <w:rPr>
          <w:rFonts w:ascii="Calibri" w:hAnsi="Calibri"/>
          <w:b/>
          <w:color w:val="1E293B"/>
          <w:sz w:val="27"/>
        </w:rPr>
        <w:t>Appendix B — API Endpoints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40" w:type="dxa"/>
              <w:right w:w="140" w:type="dxa"/>
            </w:tcMar>
          </w:tcPr>
          <w:p>
            <w:pPr>
              <w:jc w:val="left"/>
            </w:pPr>
            <w:r>
              <w:rPr>
                <w:rFonts w:ascii="Calibri" w:hAnsi="Calibri"/>
                <w:b/>
                <w:color w:val="FFFFFF"/>
                <w:sz w:val="19"/>
              </w:rPr>
              <w:t>Endpoint</w:t>
            </w:r>
          </w:p>
        </w:tc>
        <w:tc>
          <w:tcPr>
            <w:tcW w:type="dxa" w:w="2160"/>
            <w:shd w:fill="1E293B"/>
            <w:tcMar>
              <w:top w:w="120" w:type="dxa"/>
              <w:bottom w:w="120" w:type="dxa"/>
              <w:left w:w="140" w:type="dxa"/>
              <w:right w:w="140" w:type="dxa"/>
            </w:tcMar>
          </w:tcPr>
          <w:p>
            <w:pPr>
              <w:jc w:val="left"/>
            </w:pPr>
            <w:r>
              <w:rPr>
                <w:rFonts w:ascii="Calibri" w:hAnsi="Calibri"/>
                <w:b/>
                <w:color w:val="FFFFFF"/>
                <w:sz w:val="19"/>
              </w:rPr>
              <w:t>Service</w:t>
            </w:r>
          </w:p>
        </w:tc>
        <w:tc>
          <w:tcPr>
            <w:tcW w:type="dxa" w:w="4752"/>
            <w:shd w:fill="1E293B"/>
            <w:tcMar>
              <w:top w:w="120" w:type="dxa"/>
              <w:bottom w:w="120" w:type="dxa"/>
              <w:left w:w="140" w:type="dxa"/>
              <w:right w:w="140" w:type="dxa"/>
            </w:tcMar>
          </w:tcPr>
          <w:p>
            <w:pPr>
              <w:jc w:val="left"/>
            </w:pPr>
            <w:r>
              <w:rPr>
                <w:rFonts w:ascii="Calibri" w:hAnsi="Calibri"/>
                <w:b/>
                <w:color w:val="FFFFFF"/>
                <w:sz w:val="19"/>
              </w:rPr>
              <w:t>Functionality</w:t>
            </w:r>
          </w:p>
        </w:tc>
      </w:tr>
      <w:tr>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/api/v1/auth/guest</w:t>
            </w:r>
          </w:p>
        </w:tc>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gateway (8000)</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Issues signed guest JWT session token.</w:t>
            </w:r>
          </w:p>
        </w:tc>
      </w:tr>
      <w:tr>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GET /api/v1/assets</w:t>
            </w:r>
          </w:p>
        </w:tc>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market-data (8001)</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Returns 74 curated assets categorized by domain.</w:t>
            </w:r>
          </w:p>
        </w:tc>
      </w:tr>
      <w:tr>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/api/v1/optimize</w:t>
            </w:r>
          </w:p>
        </w:tc>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 (8002)</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Executes SciPy SLSQP Max-Sharpe optimization.</w:t>
            </w:r>
          </w:p>
        </w:tc>
      </w:tr>
      <w:tr>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/api/v1/marginal-impact</w:t>
            </w:r>
          </w:p>
        </w:tc>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 (8002)</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Computes Sharpe delta and volatility impact for candidate assets.</w:t>
            </w:r>
          </w:p>
        </w:tc>
      </w:tr>
      <w:tr>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/api/v1/projections</w:t>
            </w:r>
          </w:p>
        </w:tc>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 (8002)</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Generates 5,000 geometric Brownian motion Monte Carlo paths.</w:t>
            </w:r>
          </w:p>
        </w:tc>
      </w:tr>
      <w:tr>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/api/v1/backtest</w:t>
            </w:r>
          </w:p>
        </w:tc>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quant (8002)</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Runs walk-forward out-of-sample comparison across 4 strategies.</w:t>
            </w:r>
          </w:p>
        </w:tc>
      </w:tr>
      <w:tr>
        <w:tc>
          <w:tcPr>
            <w:tcW w:type="dxa" w:w="3168"/>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/api/v1/agent/runs</w:t>
            </w:r>
          </w:p>
        </w:tc>
        <w:tc>
          <w:tcPr>
            <w:tcW w:type="dxa" w:w="2160"/>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agent (8005)</w:t>
            </w:r>
          </w:p>
        </w:tc>
        <w:tc>
          <w:tcPr>
            <w:tcW w:type="dxa" w:w="4752"/>
            <w:shd w:fill="FFFFFF"/>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Assembles EvidencePack ([E1]–[E9]) and runs Critic audit.</w:t>
            </w:r>
          </w:p>
        </w:tc>
      </w:tr>
      <w:tr>
        <w:tc>
          <w:tcPr>
            <w:tcW w:type="dxa" w:w="3168"/>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POST /api/groq</w:t>
            </w:r>
          </w:p>
        </w:tc>
        <w:tc>
          <w:tcPr>
            <w:tcW w:type="dxa" w:w="2160"/>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apps/web (3000)</w:t>
            </w:r>
          </w:p>
        </w:tc>
        <w:tc>
          <w:tcPr>
            <w:tcW w:type="dxa" w:w="4752"/>
            <w:shd w:fill="F8FAFC"/>
            <w:tcMar>
              <w:top w:w="90" w:type="dxa"/>
              <w:bottom w:w="90" w:type="dxa"/>
              <w:left w:w="140" w:type="dxa"/>
              <w:right w:w="140" w:type="dxa"/>
            </w:tcMar>
            <w:tcBorders>
              <w:top w:val="single" w:sz="4" w:space="0" w:color="CBD5E1"/>
              <w:bottom w:val="single" w:sz="4" w:space="0" w:color="CBD5E1"/>
              <w:left w:val="none"/>
              <w:right w:val="none"/>
            </w:tcBorders>
          </w:tcPr>
          <w:p>
            <w:pPr>
              <w:jc w:val="left"/>
            </w:pPr>
            <w:r>
              <w:rPr>
                <w:rFonts w:ascii="Calibri" w:hAnsi="Calibri"/>
                <w:color w:val="1E293B"/>
                <w:sz w:val="18"/>
              </w:rPr>
              <w:t>Real-time streaming for Arena debates, 1-on-1 consultation, and Draww co-pilot.</w:t>
            </w:r>
          </w:p>
        </w:tc>
      </w:tr>
    </w:tbl>
    <w:p/>
    <w:p>
      <w:pPr>
        <w:keepNext/>
        <w:spacing w:before="240" w:after="80"/>
      </w:pPr>
      <w:r>
        <w:rPr>
          <w:rFonts w:ascii="Calibri" w:hAnsi="Calibri"/>
          <w:b/>
          <w:color w:val="1E293B"/>
          <w:sz w:val="27"/>
        </w:rPr>
        <w:t>Appendix C — Core Mathematical Formulations</w:t>
      </w:r>
    </w:p>
    <w:p>
      <w:r>
        <w:t>• Portfolio Expected Return: R_p = wᵀ μ</w:t>
        <w:br/>
        <w:t>• Portfolio Volatility: σ_p = sqrt(wᵀ Σ w) * sqrt(12)</w:t>
        <w:br/>
        <w:t>• Ledoit-Wolf Shrinkage: Σ_shrunk = δ F + (1 - δ) S</w:t>
        <w:br/>
        <w:t>• Blended Indian Tax Drag: Tax_drag = (wᵀ μ * 12) * [(w_eq * 0.125) + (w_debt * 0.30) + (w_alt * 0.125)]</w:t>
        <w:br/>
        <w:t>• Real Sharpe Ratio: Sharpe_real = (R_p - Tax_drag - Turnover_penalty - Inflation) / σ_p</w:t>
        <w:br/>
        <w:t>• Effective Number of Constituents (Inverse HHI): ENC = 1 / (Σ w_i^2)</w:t>
        <w:br/>
        <w:t>• Diversification Score: Score = min(10.0, ENC)</w:t>
      </w:r>
    </w:p>
    <w:p>
      <w:pPr>
        <w:keepNext/>
        <w:spacing w:before="240" w:after="80"/>
      </w:pPr>
      <w:r>
        <w:rPr>
          <w:rFonts w:ascii="Calibri" w:hAnsi="Calibri"/>
          <w:b/>
          <w:color w:val="1E293B"/>
          <w:sz w:val="27"/>
        </w:rPr>
        <w:t>Appendix D — Environment Configuration (Excluding Secrets)</w:t>
      </w:r>
    </w:p>
    <w:p>
      <w:r>
        <w:t>• DATABASE_URL: postgresql://postgres:postgres@localhost:5432/tangent</w:t>
        <w:br/>
        <w:t>• REDIS_URL: redis://localhost:6379/0</w:t>
        <w:br/>
        <w:t>• JWT_EXPIRY_MINUTES: 1440 (24 hours)</w:t>
        <w:br/>
        <w:t>• MC_PATHS: 5000 | MC_SEED: 42</w:t>
        <w:br/>
        <w:t>• RATE_LIMIT_PER_MINUTE: 60</w:t>
        <w:br/>
        <w:t>• DEMO_MODE: false (switches to offline fixtures if true)</w:t>
        <w:br/>
        <w:t>• GROQ_PRIMARY_MODEL: llama-3.3-70b-versatile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