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Models</w:t>
      </w:r>
      <w:r>
        <w:t xml:space="preserve"> </w:t>
      </w:r>
      <w:r>
        <w:t xml:space="preserve">for</w:t>
      </w:r>
      <w:r>
        <w:t xml:space="preserve"> </w:t>
      </w:r>
      <w:r>
        <w:t xml:space="preserve">Climate</w:t>
      </w:r>
      <w:r>
        <w:t xml:space="preserve"> </w:t>
      </w:r>
      <w:r>
        <w:t xml:space="preserve">Forecasting,</w:t>
      </w:r>
      <w:r>
        <w:t xml:space="preserve"> </w:t>
      </w:r>
      <w:r>
        <w:t xml:space="preserve">Extreme-Event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Anomaly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EarthScape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ML</w:t>
      </w:r>
      <w:r>
        <w:t xml:space="preserve"> </w:t>
      </w:r>
      <w:r>
        <w:t xml:space="preserve">Model</w:t>
      </w:r>
      <w:r>
        <w:t xml:space="preserve"> </w:t>
      </w:r>
      <w:r>
        <w:t xml:space="preserve">Paper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present the machine-learning component of EarthScape, a big-data climate analytics platform. Using 39,456 daily readings from 12 stations across six climate zones (2016–2024) with 12 variables from weather stations, environmental sensors and satellite products, we train (i) a next-day temperature forecaster, (ii) a five-class extreme-event classifier, (iii) an anomaly detector and (iv) trend and seasonal models. Station-and-month climatology deviations and temporal lag features are central to performance. With strict time-based validation, the forecaster achieves MAE 1.35 °C (R² 0.94) on a hold-out period, beating persistence (1.71 °C); on an independent 2024 test year the event classifier attains macro-F1 0.91 and the anomaly detector precision 0.79 / recall 0.58. Models are retrained automatically and versioned at runtime.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Climate services require forecasts, early identification of extreme events and quality control of observations. Classical statistical methods remain strong baselines, while tree ensembles handle non-linear interactions and missing data well. We focus on lightweight models that train in under a minute on a laptop, enabling continuous retraining inside an operational application.</w:t>
      </w:r>
    </w:p>
    <w:bookmarkEnd w:id="21"/>
    <w:bookmarkStart w:id="22" w:name="data"/>
    <w:p>
      <w:pPr>
        <w:pStyle w:val="Heading1"/>
      </w:pPr>
      <w:r>
        <w:t xml:space="preserve">2. Data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(arid-coastal, arid, semi-arid, humid-subtropical, temperate, cold-arid, cold-desert)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2016–2023, 35,064 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2024, 4,392 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(mean/max/min), humidity, precipitation, wind, pressure, CO₂, PM2.5, NDVI, land-surface temperature, soil moisture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event_type (none 97.7%, heatwave 1.3%, smog 0.5%, flood 0.3%, storm 0.2%); is_anomaly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2–6% in six variables</w:t>
            </w:r>
          </w:p>
        </w:tc>
      </w:tr>
    </w:tbl>
    <w:p>
      <w:pPr>
        <w:pStyle w:val="BodyText"/>
      </w:pPr>
      <w:r>
        <w:t xml:space="preserve">Data are simulated with physically motivated seasonality, monsoon, warming trend, regional climate and injected extremes and sensor faults.</w:t>
      </w:r>
    </w:p>
    <w:bookmarkEnd w:id="22"/>
    <w:bookmarkStart w:id="28" w:name="methods"/>
    <w:p>
      <w:pPr>
        <w:pStyle w:val="Heading1"/>
      </w:pPr>
      <w:r>
        <w:t xml:space="preserve">3. Methods</w:t>
      </w:r>
    </w:p>
    <w:bookmarkStart w:id="23" w:name="pre-processing"/>
    <w:p>
      <w:pPr>
        <w:pStyle w:val="Heading2"/>
      </w:pPr>
      <w:r>
        <w:t xml:space="preserve">3.1 Pre-processing</w:t>
      </w:r>
    </w:p>
    <w:p>
      <w:pPr>
        <w:pStyle w:val="FirstParagraph"/>
      </w:pPr>
      <w:r>
        <w:t xml:space="preserve">Type coercion, median imputation inside pipelines, forward-fill for lags, standard scaling, one-hot encoding of climate zone. Station metadata completed from a registry.</w:t>
      </w:r>
    </w:p>
    <w:bookmarkEnd w:id="23"/>
    <w:bookmarkStart w:id="24" w:name="feature-engineering"/>
    <w:p>
      <w:pPr>
        <w:pStyle w:val="Heading2"/>
      </w:pPr>
      <w:r>
        <w:t xml:space="preserve">3.2 Feature engineering</w:t>
      </w:r>
    </w:p>
    <w:p>
      <w:pPr>
        <w:pStyle w:val="Compact"/>
        <w:numPr>
          <w:ilvl w:val="0"/>
          <w:numId w:val="1001"/>
        </w:numPr>
      </w:pPr>
      <w:r>
        <w:t xml:space="preserve">Seasonal encoding: sin/cos of day-of-year.</w:t>
      </w:r>
    </w:p>
    <w:p>
      <w:pPr>
        <w:pStyle w:val="Compact"/>
        <w:numPr>
          <w:ilvl w:val="0"/>
          <w:numId w:val="1001"/>
        </w:numPr>
      </w:pPr>
      <w:r>
        <w:t xml:space="preserve">Climatology deviation: z = (x − μ_station,month) / σ_station,month for temperature, precipitation, wind, PM2.5, humidity and pressure.</w:t>
      </w:r>
    </w:p>
    <w:p>
      <w:pPr>
        <w:pStyle w:val="Compact"/>
        <w:numPr>
          <w:ilvl w:val="0"/>
          <w:numId w:val="1001"/>
        </w:numPr>
      </w:pPr>
      <w:r>
        <w:t xml:space="preserve">Lag features: temperature at t, t−1, t−2, t−6 and a 7-day rolling mean.</w:t>
      </w:r>
    </w:p>
    <w:bookmarkEnd w:id="24"/>
    <w:bookmarkStart w:id="25" w:name="models"/>
    <w:p>
      <w:pPr>
        <w:pStyle w:val="Heading2"/>
      </w:pPr>
      <w:r>
        <w:t xml:space="preserve">3.3 Models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Next-day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Ridge, Random Forest (120 trees, depth 14), HistGradientBoosting (250 iterations)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TimeSeriesSplit 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Extreme event (5 classes)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(200 trees, balanced), HistGradientBoosting (balanced)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TimeSeriesSplit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 (200 trees, contamination 0.03) on deviations, OR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on annual means per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 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on time + 12-month harmonics per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25"/>
    <w:bookmarkStart w:id="26" w:name="validation"/>
    <w:p>
      <w:pPr>
        <w:pStyle w:val="Heading2"/>
      </w:pPr>
      <w:r>
        <w:t xml:space="preserve">3.4 Validation</w:t>
      </w:r>
    </w:p>
    <w:p>
      <w:pPr>
        <w:pStyle w:val="FirstParagraph"/>
      </w:pPr>
      <w:r>
        <w:t xml:space="preserve">Four-fold TimeSeriesSplit on the training period for model selection, a chronological 15% hold-out, and an independent 2024 test year. No shuffling, to avoid temporal leakage.</w:t>
      </w:r>
    </w:p>
    <w:bookmarkEnd w:id="26"/>
    <w:bookmarkStart w:id="27" w:name="explainability"/>
    <w:p>
      <w:pPr>
        <w:pStyle w:val="Heading2"/>
      </w:pPr>
      <w:r>
        <w:t xml:space="preserve">3.5 Explainability</w:t>
      </w:r>
    </w:p>
    <w:p>
      <w:pPr>
        <w:pStyle w:val="FirstParagraph"/>
      </w:pPr>
      <w:r>
        <w:t xml:space="preserve">For an input reading, each variable is replaced by its station-month normal and the change in event probability is reported – a model-agnostic, counterfactual explanation that is easy for stakeholders to read.</w:t>
      </w:r>
    </w:p>
    <w:bookmarkEnd w:id="27"/>
    <w:bookmarkEnd w:id="28"/>
    <w:bookmarkStart w:id="32" w:name="results"/>
    <w:p>
      <w:pPr>
        <w:pStyle w:val="Heading1"/>
      </w:pPr>
      <w:r>
        <w:t xml:space="preserve">4. Results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Model results" title="" id="30" name="Picture"/>
            <a:graphic>
              <a:graphicData uri="http://schemas.openxmlformats.org/drawingml/2006/picture">
                <pic:pic>
                  <pic:nvPicPr>
                    <pic:cNvPr descr="img/model_result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results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Hold-out (2022–23)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(Ridge)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classifier (RF)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/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 / 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/ 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+0.41 °C/decade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Cross-validated MAE was nearly identical for all three regressors (1.39–1.41 °C), so the simplest model, Ridge, was selected – a sign that lagged temperature and seasonality carry most of the signal. Per-class F1 on the hold-out: storm 0.94, heatwave 0.88, flood 0.80, smog 0.59. Smog is hardest because it overlaps with normal winter pollution in Punjab. Anomaly precision is lower on the short hold-out (winter-heavy) than on the full test year, where heatwave and flood spells dominate the anomalies.</w:t>
      </w:r>
    </w:p>
    <w:bookmarkEnd w:id="32"/>
    <w:bookmarkStart w:id="33" w:name="discussion"/>
    <w:p>
      <w:pPr>
        <w:pStyle w:val="Heading1"/>
      </w:pPr>
      <w:r>
        <w:t xml:space="preserve">5. Discussion</w:t>
      </w:r>
    </w:p>
    <w:p>
      <w:pPr>
        <w:pStyle w:val="Compact"/>
        <w:numPr>
          <w:ilvl w:val="0"/>
          <w:numId w:val="1002"/>
        </w:numPr>
      </w:pPr>
      <w:r>
        <w:t xml:space="preserve">Climatology deviations make one model work across very different climates.</w:t>
      </w:r>
    </w:p>
    <w:p>
      <w:pPr>
        <w:pStyle w:val="Compact"/>
        <w:numPr>
          <w:ilvl w:val="0"/>
          <w:numId w:val="1002"/>
        </w:numPr>
      </w:pPr>
      <w:r>
        <w:t xml:space="preserve">Persistence is a strong baseline for daily temperature; lag features give a 21% improvement.</w:t>
      </w:r>
    </w:p>
    <w:p>
      <w:pPr>
        <w:pStyle w:val="Compact"/>
        <w:numPr>
          <w:ilvl w:val="0"/>
          <w:numId w:val="1002"/>
        </w:numPr>
      </w:pPr>
      <w:r>
        <w:t xml:space="preserve">Class imbalance (≈2% events) is handled with balanced class weights and macro-F1 selection.</w:t>
      </w:r>
    </w:p>
    <w:p>
      <w:pPr>
        <w:pStyle w:val="Compact"/>
        <w:numPr>
          <w:ilvl w:val="0"/>
          <w:numId w:val="1002"/>
        </w:numPr>
      </w:pPr>
      <w:r>
        <w:t xml:space="preserve">Automatic retraining every 2,000 readings plus PSI drift monitoring keeps models current as the climate warms.</w:t>
      </w:r>
    </w:p>
    <w:bookmarkEnd w:id="33"/>
    <w:bookmarkStart w:id="34" w:name="limitations-and-future-work"/>
    <w:p>
      <w:pPr>
        <w:pStyle w:val="Heading1"/>
      </w:pPr>
      <w:r>
        <w:t xml:space="preserve">6. Limitations and Future Work</w:t>
      </w:r>
    </w:p>
    <w:p>
      <w:pPr>
        <w:pStyle w:val="FirstParagraph"/>
      </w:pPr>
      <w:r>
        <w:t xml:space="preserve">Simulated data; daily resolution; no spatial modelling. Next steps: gridded reanalysis data (ERA5), spatio-temporal deep learning (ConvLSTM, graph neural networks), probabilistic forecasts and SHAP explanations.</w:t>
      </w:r>
    </w:p>
    <w:bookmarkEnd w:id="34"/>
    <w:bookmarkStart w:id="35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Simple, well-engineered models trained at runtime provide accurate, explainable and continuously updated climate predictions suitable for an operational early-warning platform.</w:t>
      </w:r>
    </w:p>
    <w:bookmarkEnd w:id="35"/>
    <w:bookmarkStart w:id="36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Compact"/>
        <w:numPr>
          <w:ilvl w:val="0"/>
          <w:numId w:val="1003"/>
        </w:numPr>
      </w:pPr>
      <w:r>
        <w:t xml:space="preserve">Liu, F. T., Ting, K. M., &amp; Zhou, Z.-H. (2008). Isolation Forest.</w:t>
      </w:r>
      <w:r>
        <w:t xml:space="preserve"> </w:t>
      </w:r>
      <w:r>
        <w:rPr>
          <w:i/>
          <w:iCs/>
        </w:rPr>
        <w:t xml:space="preserve">IEEE ICDM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Friedman, J. H. (2001). Greedy function approximation: a gradient boosting machine.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29(5).</w:t>
      </w:r>
    </w:p>
    <w:p>
      <w:pPr>
        <w:pStyle w:val="Compact"/>
        <w:numPr>
          <w:ilvl w:val="0"/>
          <w:numId w:val="1003"/>
        </w:numPr>
      </w:pPr>
      <w:r>
        <w:t xml:space="preserve">Ke, G. et al. (2017). LightGBM: A highly efficient gradient boosting decision tree.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Pedregosa, F. et al. (2011). Scikit-learn: Machine Learning in Python.</w:t>
      </w:r>
      <w:r>
        <w:t xml:space="preserve"> </w:t>
      </w:r>
      <w:r>
        <w:rPr>
          <w:i/>
          <w:iCs/>
        </w:rPr>
        <w:t xml:space="preserve">JMLR</w:t>
      </w:r>
      <w:r>
        <w:t xml:space="preserve">, 12.</w:t>
      </w:r>
    </w:p>
    <w:p>
      <w:pPr>
        <w:pStyle w:val="Compact"/>
        <w:numPr>
          <w:ilvl w:val="0"/>
          <w:numId w:val="1003"/>
        </w:numPr>
      </w:pPr>
      <w:r>
        <w:t xml:space="preserve">Rasp, S. et al. (2020). WeatherBench: a benchmark data set for data-driven weather forecasting.</w:t>
      </w:r>
      <w:r>
        <w:t xml:space="preserve"> </w:t>
      </w:r>
      <w:r>
        <w:rPr>
          <w:i/>
          <w:iCs/>
        </w:rPr>
        <w:t xml:space="preserve">JAMES</w:t>
      </w:r>
      <w:r>
        <w:t xml:space="preserve">, 12.</w:t>
      </w:r>
    </w:p>
    <w:p>
      <w:pPr>
        <w:pStyle w:val="Compact"/>
        <w:numPr>
          <w:ilvl w:val="0"/>
          <w:numId w:val="1003"/>
        </w:numPr>
      </w:pPr>
      <w:r>
        <w:t xml:space="preserve">Chandola, V., Banerjee, A., &amp; Kumar, V. (2009). Anomaly detection: a survey.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41(3).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Models for Climate Forecasting, Extreme-Event Detection and Anomaly Identification in the EarthScape Platform</dc:title>
  <dc:creator/>
  <cp:keywords/>
  <dcterms:created xsi:type="dcterms:W3CDTF">2026-10-23T05:05:13Z</dcterms:created>
  <dcterms:modified xsi:type="dcterms:W3CDTF">2026-10-23T05:05:13Z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ML Model Paper</vt:lpwstr>
  </property>
</Properties>
</file>