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4</w:t>
      </w:r>
    </w:p>
    <w:p>
      <w:pPr>
        <w:spacing w:after="60"/>
      </w:pPr>
      <w:r>
        <w:rPr>
          <w:b/>
          <w:sz w:val="24"/>
        </w:rPr>
        <w:t>Lecture Topic: یونٹ 1، سبق 7-8 — اسماء اور ناموں کی پہچان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1، سبق 7-8.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1، سبق 7-8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اسماء اور ناموں کی پہچان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اسماء، صفات اور قرآنی ناموں کے بنیادی معنی سیکھنا۔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الْفَقِير، الْغَنِيّ، آدَم، عِيسَى</w:t>
      </w:r>
    </w:p>
    <w:p>
      <w:pPr>
        <w:pStyle w:val="ListParagraph"/>
        <w:spacing w:after="20"/>
      </w:pPr>
      <w:r>
        <w:rPr>
          <w:b w:val="0"/>
          <w:sz w:val="18"/>
        </w:rPr>
        <w:t>Urdu meanings: محتاج، بے نیاز، آدم، عیسیٰ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اسماء اور ناموں کی پہچان.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1، سبق 7-8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1، سبق 7-8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1، سبق 7-8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اسماء اور ناموں کی پہچان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