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10</w:t>
      </w:r>
    </w:p>
    <w:p>
      <w:pPr>
        <w:spacing w:after="60"/>
      </w:pPr>
      <w:r>
        <w:rPr>
          <w:b/>
          <w:sz w:val="24"/>
        </w:rPr>
        <w:t>Lecture Topic: یونٹ 2، سبق 18 — لام اور ملکیت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2، سبق 18.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2، سبق 18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لام اور ملکیت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لام کے ذریعے نسبت اور ملکیت کا مفہوم پہچاننا۔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لِلْقُرْآن، لِلَّهِ، لِعِلْم</w:t>
      </w:r>
    </w:p>
    <w:p>
      <w:pPr>
        <w:pStyle w:val="ListParagraph"/>
        <w:spacing w:after="20"/>
      </w:pPr>
      <w:r>
        <w:rPr>
          <w:b w:val="0"/>
          <w:sz w:val="18"/>
        </w:rPr>
        <w:t>Urdu meanings: قرآن کے لیے، اللہ کے لیے، علم کے لیے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لام اور ملکیت.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2، سبق 18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2، سبق 18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2، سبق 18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لام اور ملکیت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