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Course Outline: Understanding of the Holy Quran</w:t>
      </w:r>
    </w:p>
    <w:p>
      <w:pPr>
        <w:pStyle w:val="Heading1"/>
      </w:pPr>
      <w:r>
        <w:t>Course Information</w:t>
      </w:r>
    </w:p>
    <w:p>
      <w:r>
        <w:rPr>
          <w:b/>
        </w:rPr>
        <w:t xml:space="preserve">Course Title: </w:t>
      </w:r>
      <w:r>
        <w:t>Understanding of the Holy Quran</w:t>
      </w:r>
    </w:p>
    <w:p>
      <w:r>
        <w:rPr>
          <w:b/>
        </w:rPr>
        <w:t xml:space="preserve">Program: </w:t>
      </w:r>
      <w:r>
        <w:t>LLB</w:t>
      </w:r>
    </w:p>
    <w:p>
      <w:r>
        <w:rPr>
          <w:b/>
        </w:rPr>
        <w:t xml:space="preserve">Semester: </w:t>
      </w:r>
      <w:r>
        <w:t>Spring 2026</w:t>
      </w:r>
    </w:p>
    <w:p>
      <w:r>
        <w:rPr>
          <w:b/>
        </w:rPr>
        <w:t xml:space="preserve">Course Code: </w:t>
      </w:r>
      <w:r>
        <w:t>AI.6606/RA.6108</w:t>
      </w:r>
    </w:p>
    <w:p>
      <w:r>
        <w:rPr>
          <w:b/>
        </w:rPr>
        <w:t xml:space="preserve">Course Instructor: </w:t>
      </w:r>
      <w:r>
        <w:t>Zahoor Ahmed</w:t>
      </w:r>
    </w:p>
    <w:p>
      <w:r>
        <w:rPr>
          <w:b/>
        </w:rPr>
        <w:t xml:space="preserve">Course Textbook: </w:t>
      </w:r>
      <w:r>
        <w:t>معلم القرآن جلد اول (Volume 1)</w:t>
      </w:r>
    </w:p>
    <w:p>
      <w:r>
        <w:rPr>
          <w:b/>
        </w:rPr>
        <w:t xml:space="preserve">Lecture Duration: </w:t>
      </w:r>
      <w:r>
        <w:t>60 Minutes per session</w:t>
      </w:r>
    </w:p>
    <w:p>
      <w:pPr>
        <w:pStyle w:val="Heading1"/>
      </w:pPr>
      <w:r>
        <w:t>Course Learning Objectives</w:t>
      </w:r>
    </w:p>
    <w:p>
      <w:r>
        <w:t>By the end of this course, students will be able to:</w:t>
      </w:r>
    </w:p>
    <w:p>
      <w:pPr>
        <w:pStyle w:val="ListBullet"/>
      </w:pPr>
      <w:r>
        <w:t>Understand the specific grammatical rules and vocabulary covered in each unit.</w:t>
      </w:r>
    </w:p>
    <w:p>
      <w:pPr>
        <w:pStyle w:val="ListBullet"/>
      </w:pPr>
      <w:r>
        <w:t>Recognize relevant linguistic structures within Qur’anic words and short phrases.</w:t>
      </w:r>
    </w:p>
    <w:p>
      <w:pPr>
        <w:pStyle w:val="ListBullet"/>
      </w:pPr>
      <w:r>
        <w:t>Translate selected examples from Arabic to Urdu and Urdu to Arabic.</w:t>
      </w:r>
    </w:p>
    <w:p>
      <w:pPr>
        <w:pStyle w:val="ListBullet"/>
      </w:pPr>
      <w:r>
        <w:t>Apply the learned grammatical rules accurately to complete textbook exercises.</w:t>
      </w:r>
    </w:p>
    <w:p>
      <w:pPr>
        <w:pStyle w:val="Heading1"/>
      </w:pPr>
      <w:r>
        <w:t>Weekly Lesson Outline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&amp; Lesson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Lecture Topic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Rule Explanation &amp; Focus Area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یونٹ 1، سبق 1-2</w:t>
            </w:r>
          </w:p>
        </w:tc>
        <w:tc>
          <w:tcPr>
            <w:tcW w:type="dxa" w:w="2160"/>
          </w:tcPr>
          <w:p>
            <w:r>
              <w:t>قرآنی بنیادی الفاظ</w:t>
            </w:r>
          </w:p>
        </w:tc>
        <w:tc>
          <w:tcPr>
            <w:tcW w:type="dxa" w:w="2160"/>
          </w:tcPr>
          <w:p>
            <w:r>
              <w:t>بنیادی قرآنی اسماء اور ان کے سادہ اردو معنی پہچاننا۔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یونٹ 1، سبق 3-4</w:t>
            </w:r>
          </w:p>
        </w:tc>
        <w:tc>
          <w:tcPr>
            <w:tcW w:type="dxa" w:w="2160"/>
          </w:tcPr>
          <w:p>
            <w:r>
              <w:t>مزید قرآنی الفاظ</w:t>
            </w:r>
          </w:p>
        </w:tc>
        <w:tc>
          <w:tcPr>
            <w:tcW w:type="dxa" w:w="2160"/>
          </w:tcPr>
          <w:p>
            <w:r>
              <w:t>عام قرآنی الفاظ کو تلفظ، معنی اور مختصر ترکیب کے ساتھ یاد کرنا۔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یونٹ 1، سبق 5-6</w:t>
            </w:r>
          </w:p>
        </w:tc>
        <w:tc>
          <w:tcPr>
            <w:tcW w:type="dxa" w:w="2160"/>
          </w:tcPr>
          <w:p>
            <w:r>
              <w:t>کثیر استعمال قرآنی الفاظ</w:t>
            </w:r>
          </w:p>
        </w:tc>
        <w:tc>
          <w:tcPr>
            <w:tcW w:type="dxa" w:w="2160"/>
          </w:tcPr>
          <w:p>
            <w:r>
              <w:t>بار بار آنے والے اسماء کو قرآنی سیاق میں سمجھنا۔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یونٹ 1، سبق 7-8</w:t>
            </w:r>
          </w:p>
        </w:tc>
        <w:tc>
          <w:tcPr>
            <w:tcW w:type="dxa" w:w="2160"/>
          </w:tcPr>
          <w:p>
            <w:r>
              <w:t>اسماء اور ناموں کی پہچان</w:t>
            </w:r>
          </w:p>
        </w:tc>
        <w:tc>
          <w:tcPr>
            <w:tcW w:type="dxa" w:w="2160"/>
          </w:tcPr>
          <w:p>
            <w:r>
              <w:t>اسماء، صفات اور قرآنی ناموں کے بنیادی معنی سیکھنا۔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یونٹ 1، سبق 9-10</w:t>
            </w:r>
          </w:p>
        </w:tc>
        <w:tc>
          <w:tcPr>
            <w:tcW w:type="dxa" w:w="2160"/>
          </w:tcPr>
          <w:p>
            <w:r>
              <w:t>الفاظ کی تکرار اور ترجمہ</w:t>
            </w:r>
          </w:p>
        </w:tc>
        <w:tc>
          <w:tcPr>
            <w:tcW w:type="dxa" w:w="2160"/>
          </w:tcPr>
          <w:p>
            <w:r>
              <w:t>الفاظ کو قرآنی ترکیبات میں پہچان کر لفظی ترجمہ کرنا۔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یونٹ 1، سبق 11-12</w:t>
            </w:r>
          </w:p>
        </w:tc>
        <w:tc>
          <w:tcPr>
            <w:tcW w:type="dxa" w:w="2160"/>
          </w:tcPr>
          <w:p>
            <w:r>
              <w:t>واؤ عاطفہ</w:t>
            </w:r>
          </w:p>
        </w:tc>
        <w:tc>
          <w:tcPr>
            <w:tcW w:type="dxa" w:w="2160"/>
          </w:tcPr>
          <w:p>
            <w:r>
              <w:t>واؤ عاطفہ کے ذریعے دو الفاظ یا باتوں کے باہمی تعلق کو سمجھنا۔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یونٹ 2، سبق 13</w:t>
            </w:r>
          </w:p>
        </w:tc>
        <w:tc>
          <w:tcPr>
            <w:tcW w:type="dxa" w:w="2160"/>
          </w:tcPr>
          <w:p>
            <w:r>
              <w:t>الف لام اور معرفہ</w:t>
            </w:r>
          </w:p>
        </w:tc>
        <w:tc>
          <w:tcPr>
            <w:tcW w:type="dxa" w:w="2160"/>
          </w:tcPr>
          <w:p>
            <w:r>
              <w:t>الف لام کی وجہ سے اسم کے معروف ہونے کا مفہوم پہچاننا۔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یونٹ 2، سبق 14-15</w:t>
            </w:r>
          </w:p>
        </w:tc>
        <w:tc>
          <w:tcPr>
            <w:tcW w:type="dxa" w:w="2160"/>
          </w:tcPr>
          <w:p>
            <w:r>
              <w:t>اسمائے اشارہ ہٰذَا اور ذٰلِكَ</w:t>
            </w:r>
          </w:p>
        </w:tc>
        <w:tc>
          <w:tcPr>
            <w:tcW w:type="dxa" w:w="2160"/>
          </w:tcPr>
          <w:p>
            <w:r>
              <w:t>قریب اور دور مذکر کے لیے اسمائے اشارہ درست استعمال کرنا۔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یونٹ 2، سبق 16-17</w:t>
            </w:r>
          </w:p>
        </w:tc>
        <w:tc>
          <w:tcPr>
            <w:tcW w:type="dxa" w:w="2160"/>
          </w:tcPr>
          <w:p>
            <w:r>
              <w:t>مؤنث اور هٰذِهِ، تِلْكَ</w:t>
            </w:r>
          </w:p>
        </w:tc>
        <w:tc>
          <w:tcPr>
            <w:tcW w:type="dxa" w:w="2160"/>
          </w:tcPr>
          <w:p>
            <w:r>
              <w:t>مؤنث اسماء اور ان کے ساتھ ہٰذِهِ اور تِلْكَ کی پہچان کرنا۔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یونٹ 2، سبق 18</w:t>
            </w:r>
          </w:p>
        </w:tc>
        <w:tc>
          <w:tcPr>
            <w:tcW w:type="dxa" w:w="2160"/>
          </w:tcPr>
          <w:p>
            <w:r>
              <w:t>لام اور ملکیت</w:t>
            </w:r>
          </w:p>
        </w:tc>
        <w:tc>
          <w:tcPr>
            <w:tcW w:type="dxa" w:w="2160"/>
          </w:tcPr>
          <w:p>
            <w:r>
              <w:t>لام کے ذریعے نسبت اور ملکیت کا مفہوم پہچاننا۔</w:t>
            </w:r>
          </w:p>
        </w:tc>
      </w:tr>
    </w:tbl>
    <w:p>
      <w:pPr>
        <w:pStyle w:val="Heading1"/>
      </w:pPr>
      <w:r>
        <w:t>Weekly Assessment &amp; Evaluation</w:t>
      </w:r>
    </w:p>
    <w:p>
      <w:pPr>
        <w:pStyle w:val="ListBullet"/>
      </w:pPr>
      <w:r>
        <w:rPr>
          <w:b/>
        </w:rPr>
        <w:t xml:space="preserve">Class Activity (5 Marks): </w:t>
      </w:r>
      <w:r>
        <w:t>Identification and translation of examples from the current week's lesson.</w:t>
      </w:r>
    </w:p>
    <w:p>
      <w:pPr>
        <w:pStyle w:val="ListBullet"/>
      </w:pPr>
      <w:r>
        <w:rPr>
          <w:b/>
        </w:rPr>
        <w:t xml:space="preserve">Short Written Task (5 Marks): </w:t>
      </w:r>
      <w:r>
        <w:t>Writing the rule, providing its Urdu meaning, and writing one example from the lesson.</w:t>
      </w:r>
    </w:p>
    <w:p>
      <w:pPr>
        <w:pStyle w:val="ListBullet"/>
      </w:pPr>
      <w:r>
        <w:rPr>
          <w:b/>
        </w:rPr>
        <w:t xml:space="preserve">Homework Assignments: </w:t>
      </w:r>
      <w:r>
        <w:t>Completing remaining exercises in the textbook, writing five Arabic examples with their Urdu meanings, and underlining the rule or target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