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48"/>
        </w:rPr>
        <w:t>Prompt Engineering &amp; Refinement: Google Antigravity (agy)</w:t>
      </w:r>
    </w:p>
    <w:p>
      <w:pPr>
        <w:spacing w:before="0" w:after="280"/>
      </w:pPr>
      <w:r>
        <w:rPr>
          <w:rFonts w:ascii="Calibri" w:hAnsi="Calibri"/>
          <w:i/>
          <w:color w:val="555555"/>
          <w:sz w:val="24"/>
        </w:rPr>
        <w:t>A Academic &amp; Technical Guide to Prompt Optimization for Agentic Software Development Tools</w:t>
      </w:r>
    </w:p>
    <w:p>
      <w:pPr>
        <w:spacing w:after="280"/>
      </w:pPr>
      <w:r>
        <w:rPr>
          <w:color w:val="0073E6"/>
        </w:rPr>
        <w:t>――――――――――――――――――――――――――――――――――――――――――――――――――――――</w:t>
      </w:r>
    </w:p>
    <w:p>
      <w:pPr>
        <w:spacing w:before="160" w:after="120"/>
      </w:pPr>
      <w:r>
        <w:rPr>
          <w:rFonts w:ascii="Calibri" w:hAnsi="Calibri"/>
          <w:b/>
          <w:color w:val="1B365D"/>
          <w:sz w:val="30"/>
        </w:rPr>
        <w:t>1. Objective &amp; Subject Overview</w:t>
      </w:r>
    </w:p>
    <w:p>
      <w:pPr>
        <w:spacing w:before="0" w:after="160"/>
      </w:pPr>
      <w:r>
        <w:rPr>
          <w:rFonts w:ascii="Calibri" w:hAnsi="Calibri"/>
          <w:color w:val="222222"/>
          <w:sz w:val="22"/>
        </w:rPr>
        <w:t>Google Antigravity and its CLI executable (agy) represent Google's next-generation agentic software development platform. Unlike traditional code-completion assistants, Antigravity functions as an autonomous terminal-based AI coding agent capable of executing multi-file edits, running test suites, and executing shell commands directly. This guide demonstrates how an initial basic prompt about Google Antigravity can be systematically refined to extract authoritative, structured, and exam-grade technical content.</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36" w:space="0" w:color="0073E6"/>
              <w:bottom w:val="none"/>
              <w:right w:val="none"/>
            </w:tcBorders>
            <w:tcMar>
              <w:top w:w="120" w:type="dxa"/>
              <w:bottom w:w="120" w:type="dxa"/>
              <w:left w:w="180" w:type="dxa"/>
              <w:right w:w="180" w:type="dxa"/>
            </w:tcMar>
          </w:tcPr>
          <w:p>
            <w:pPr>
              <w:spacing w:before="40" w:after="40"/>
            </w:pPr>
            <w:r>
              <w:rPr>
                <w:rFonts w:ascii="Calibri" w:hAnsi="Calibri"/>
                <w:i/>
                <w:color w:val="1B365D"/>
                <w:sz w:val="21"/>
              </w:rPr>
              <w:t>Key Takeaway for High Scoring: A general prompt about 'antigravity' risks mixing sci-fi physics concepts with software engineering tools. Refining the prompt to specify the target technology (Google Antigravity / agy CLI), target persona, architecture, and output format ensures high precision and academic depth.</w:t>
            </w:r>
          </w:p>
        </w:tc>
      </w:tr>
    </w:tbl>
    <w:p>
      <w:pPr>
        <w:spacing w:before="320" w:after="120"/>
      </w:pPr>
      <w:r>
        <w:rPr>
          <w:rFonts w:ascii="Calibri" w:hAnsi="Calibri"/>
          <w:b/>
          <w:color w:val="1B365D"/>
          <w:sz w:val="30"/>
        </w:rPr>
        <w:t>2. Practical Case Study: Basic vs. Refined Prompt</w:t>
      </w:r>
    </w:p>
    <w:tbl>
      <w:tblPr>
        <w:tblW w:type="auto" w:w="0"/>
        <w:jc w:val="center"/>
        <w:tblLook w:firstColumn="1" w:firstRow="1" w:lastColumn="0" w:lastRow="0" w:noHBand="0" w:noVBand="1" w:val="04A0"/>
      </w:tblPr>
      <w:tblGrid>
        <w:gridCol w:w="9360"/>
      </w:tblGrid>
      <w:tr>
        <w:tc>
          <w:tcPr>
            <w:tcW w:type="dxa" w:w="9360"/>
            <w:shd w:fill="FDEDEC"/>
            <w:tcBorders>
              <w:top w:val="none"/>
              <w:left w:val="single" w:sz="36" w:space="0" w:color="C0392B"/>
              <w:bottom w:val="none"/>
              <w:right w:val="none"/>
            </w:tcBorders>
            <w:tcMar>
              <w:top w:w="100" w:type="dxa"/>
              <w:bottom w:w="100" w:type="dxa"/>
              <w:left w:w="150" w:type="dxa"/>
              <w:right w:w="150" w:type="dxa"/>
            </w:tcMar>
          </w:tcPr>
          <w:p>
            <w:pPr>
              <w:spacing w:before="40" w:after="80"/>
            </w:pPr>
            <w:r>
              <w:rPr>
                <w:rFonts w:ascii="Calibri" w:hAnsi="Calibri"/>
                <w:b/>
                <w:color w:val="C0392B"/>
                <w:sz w:val="22"/>
              </w:rPr>
              <w:t>❌ Initial (Basic) Prompt:</w:t>
            </w:r>
          </w:p>
          <w:p>
            <w:pPr>
              <w:spacing w:after="40"/>
            </w:pPr>
            <w:r>
              <w:rPr>
                <w:rFonts w:ascii="Calibri" w:hAnsi="Calibri"/>
                <w:i/>
                <w:color w:val="222222"/>
                <w:sz w:val="21"/>
              </w:rPr>
              <w:t>"Write an article about Google Antigravity and the agy tool."</w:t>
            </w:r>
          </w:p>
        </w:tc>
      </w:tr>
    </w:tbl>
    <w:p>
      <w:pPr>
        <w:spacing w:before="160" w:after="240"/>
      </w:pPr>
      <w:r>
        <w:rPr>
          <w:b/>
          <w:color w:val="C0392B"/>
        </w:rPr>
        <w:t xml:space="preserve">Why It Fails: </w:t>
      </w:r>
      <w:r>
        <w:rPr>
          <w:color w:val="222222"/>
        </w:rPr>
        <w:t>It fails to define technical depth, persona, CLI workflow commands, safety execution flags, or architectural comparison with traditional IDE extensions. The output produced is superficial and lacks actionable technical details.</w:t>
      </w:r>
    </w:p>
    <w:tbl>
      <w:tblPr>
        <w:tblW w:type="auto" w:w="0"/>
        <w:jc w:val="center"/>
        <w:tblLook w:firstColumn="1" w:firstRow="1" w:lastColumn="0" w:lastRow="0" w:noHBand="0" w:noVBand="1" w:val="04A0"/>
      </w:tblPr>
      <w:tblGrid>
        <w:gridCol w:w="9360"/>
      </w:tblGrid>
      <w:tr>
        <w:tc>
          <w:tcPr>
            <w:tcW w:type="dxa" w:w="9360"/>
            <w:shd w:fill="EAFAF1"/>
            <w:tcBorders>
              <w:top w:val="none"/>
              <w:left w:val="single" w:sz="36" w:space="0" w:color="27AE60"/>
              <w:bottom w:val="none"/>
              <w:right w:val="none"/>
            </w:tcBorders>
            <w:tcMar>
              <w:top w:w="100" w:type="dxa"/>
              <w:bottom w:w="100" w:type="dxa"/>
              <w:left w:w="150" w:type="dxa"/>
              <w:right w:w="150" w:type="dxa"/>
            </w:tcMar>
          </w:tcPr>
          <w:p>
            <w:pPr>
              <w:spacing w:before="40" w:after="80"/>
            </w:pPr>
            <w:r>
              <w:rPr>
                <w:rFonts w:ascii="Calibri" w:hAnsi="Calibri"/>
                <w:b/>
                <w:color w:val="27AE60"/>
                <w:sz w:val="22"/>
              </w:rPr>
              <w:t>✅ Refined (Advanced) Prompt:</w:t>
            </w:r>
          </w:p>
          <w:p>
            <w:pPr>
              <w:spacing w:after="40"/>
            </w:pPr>
            <w:r>
              <w:rPr>
                <w:rFonts w:ascii="Calibri" w:hAnsi="Calibri"/>
                <w:i/>
                <w:color w:val="222222"/>
                <w:sz w:val="19"/>
              </w:rPr>
              <w:t>"Act as a Principal Software Engineer and DevTools Architect briefing senior engineering managers.</w:t>
              <w:br/>
              <w:br/>
              <w:t>Write a technical overview (approx. 600 words) titled 'Google Antigravity &amp; the agy CLI: Agentic AI Workflows in Software Engineering'.</w:t>
              <w:br/>
              <w:br/>
              <w:t>Required Technical Structure:</w:t>
              <w:br/>
              <w:t>1. Platform Overview: Define Google Antigravity and the agy Go binary, contrasting terminal agentic workflows with basic inline IDE auto-completion.</w:t>
              <w:br/>
              <w:t>2. Key Capabilities &amp; Slash Commands: Detail core features including slash commands (/config, /usage, /plan, /grill-me) and execution flags (--mode=accept-edits, --dangerously-skip-permissions).</w:t>
              <w:br/>
              <w:t>3. Architectural Workflow: Explain how agy coordinates context windows, repository file modifications, unit test execution, and shell commands autonomously.</w:t>
              <w:br/>
              <w:t>4. Security &amp; Operational Governance: Evaluate permission models, sandboxing, and enterprise safety controls.</w:t>
              <w:br/>
              <w:br/>
              <w:t>Formatting Requirements:</w:t>
              <w:br/>
              <w:t>• Tone: Authoritative, technical, precise, and objective.</w:t>
              <w:br/>
              <w:t>• Structure: Clear subheadings, bolded command-line flags, and a comparative synthesis table contrasting Auto-complete AI, Chat Extensions, and Autonomous CLI Agents."</w:t>
            </w:r>
          </w:p>
        </w:tc>
      </w:tr>
    </w:tbl>
    <w:p>
      <w:pPr>
        <w:spacing w:before="320" w:after="120"/>
      </w:pPr>
      <w:r>
        <w:rPr>
          <w:rFonts w:ascii="Calibri" w:hAnsi="Calibri"/>
          <w:b/>
          <w:color w:val="1B365D"/>
          <w:sz w:val="30"/>
        </w:rPr>
        <w:t>3. Breakdown of Prompt Refinement Techniques</w:t>
      </w:r>
    </w:p>
    <w:p>
      <w:pPr>
        <w:pStyle w:val="ListBullet"/>
        <w:spacing w:before="40" w:after="80"/>
      </w:pPr>
      <w:r>
        <w:rPr>
          <w:rFonts w:ascii="Calibri" w:hAnsi="Calibri"/>
          <w:b/>
          <w:color w:val="1B365D"/>
          <w:sz w:val="21"/>
        </w:rPr>
        <w:t xml:space="preserve">Context Disambiguation ('Google Antigravity &amp; agy CLI'): </w:t>
      </w:r>
      <w:r>
        <w:rPr>
          <w:rFonts w:ascii="Calibri" w:hAnsi="Calibri"/>
          <w:color w:val="222222"/>
          <w:sz w:val="21"/>
        </w:rPr>
        <w:t>Explicitly grounds the topic in software devtools, preventing confusion with physical antigravity or general physics terms.</w:t>
      </w:r>
    </w:p>
    <w:p>
      <w:pPr>
        <w:pStyle w:val="ListBullet"/>
        <w:spacing w:before="40" w:after="80"/>
      </w:pPr>
      <w:r>
        <w:rPr>
          <w:rFonts w:ascii="Calibri" w:hAnsi="Calibri"/>
          <w:b/>
          <w:color w:val="1B365D"/>
          <w:sz w:val="21"/>
        </w:rPr>
        <w:t xml:space="preserve">Expert Persona ('Principal DevTools Architect'): </w:t>
      </w:r>
      <w:r>
        <w:rPr>
          <w:rFonts w:ascii="Calibri" w:hAnsi="Calibri"/>
          <w:color w:val="222222"/>
          <w:sz w:val="21"/>
        </w:rPr>
        <w:t>Elevates technical terminology, focusing on binary architectures, permission flags, and agentic planning loops.</w:t>
      </w:r>
    </w:p>
    <w:p>
      <w:pPr>
        <w:pStyle w:val="ListBullet"/>
        <w:spacing w:before="40" w:after="80"/>
      </w:pPr>
      <w:r>
        <w:rPr>
          <w:rFonts w:ascii="Calibri" w:hAnsi="Calibri"/>
          <w:b/>
          <w:color w:val="1B365D"/>
          <w:sz w:val="21"/>
        </w:rPr>
        <w:t xml:space="preserve">Actionable Feature Specification ('/plan', '/grill-me', '--mode'): </w:t>
      </w:r>
      <w:r>
        <w:rPr>
          <w:rFonts w:ascii="Calibri" w:hAnsi="Calibri"/>
          <w:color w:val="222222"/>
          <w:sz w:val="21"/>
        </w:rPr>
        <w:t>Directs the model to cover exact CLI commands and operational parameters rather than hand-waving generalizations.</w:t>
      </w:r>
    </w:p>
    <w:p>
      <w:pPr>
        <w:pStyle w:val="ListBullet"/>
        <w:spacing w:before="40" w:after="80"/>
      </w:pPr>
      <w:r>
        <w:rPr>
          <w:rFonts w:ascii="Calibri" w:hAnsi="Calibri"/>
          <w:b/>
          <w:color w:val="1B365D"/>
          <w:sz w:val="21"/>
        </w:rPr>
        <w:t xml:space="preserve">Structured Synthesis Table: </w:t>
      </w:r>
      <w:r>
        <w:rPr>
          <w:rFonts w:ascii="Calibri" w:hAnsi="Calibri"/>
          <w:color w:val="222222"/>
          <w:sz w:val="21"/>
        </w:rPr>
        <w:t>Enforces visual clarity and high-density information display suitable for academic evaluations and technical reports.</w:t>
      </w:r>
    </w:p>
    <w:p>
      <w:pPr>
        <w:spacing w:before="320" w:after="120"/>
      </w:pPr>
      <w:r>
        <w:rPr>
          <w:rFonts w:ascii="Calibri" w:hAnsi="Calibri"/>
          <w:b/>
          <w:color w:val="1B365D"/>
          <w:sz w:val="30"/>
        </w:rPr>
        <w:t>4. Technical Matrix: AI Coding Tools Paradigms</w:t>
      </w:r>
    </w:p>
    <w:p>
      <w:pPr>
        <w:spacing w:after="160"/>
      </w:pPr>
      <w:r>
        <w:rPr>
          <w:rFonts w:ascii="Calibri" w:hAnsi="Calibri"/>
          <w:sz w:val="21"/>
        </w:rPr>
        <w:t>The refined prompt instructs the AI to produce a structured comparative paradigm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00" w:type="dxa"/>
              <w:right w:w="100" w:type="dxa"/>
            </w:tcMar>
          </w:tcPr>
          <w:p>
            <w:r>
              <w:rPr>
                <w:rFonts w:ascii="Calibri" w:hAnsi="Calibri"/>
                <w:b/>
                <w:color w:val="FFFFFF"/>
                <w:sz w:val="19"/>
              </w:rPr>
              <w:t>Tool Category</w:t>
            </w:r>
          </w:p>
        </w:tc>
        <w:tc>
          <w:tcPr>
            <w:tcW w:type="dxa" w:w="2340"/>
            <w:shd w:fill="1B365D"/>
            <w:tcMar>
              <w:top w:w="100" w:type="dxa"/>
              <w:bottom w:w="100" w:type="dxa"/>
              <w:left w:w="100" w:type="dxa"/>
              <w:right w:w="100" w:type="dxa"/>
            </w:tcMar>
          </w:tcPr>
          <w:p>
            <w:r>
              <w:rPr>
                <w:rFonts w:ascii="Calibri" w:hAnsi="Calibri"/>
                <w:b/>
                <w:color w:val="FFFFFF"/>
                <w:sz w:val="19"/>
              </w:rPr>
              <w:t>Primary Capability</w:t>
            </w:r>
          </w:p>
        </w:tc>
        <w:tc>
          <w:tcPr>
            <w:tcW w:type="dxa" w:w="2340"/>
            <w:shd w:fill="1B365D"/>
            <w:tcMar>
              <w:top w:w="100" w:type="dxa"/>
              <w:bottom w:w="100" w:type="dxa"/>
              <w:left w:w="100" w:type="dxa"/>
              <w:right w:w="100" w:type="dxa"/>
            </w:tcMar>
          </w:tcPr>
          <w:p>
            <w:r>
              <w:rPr>
                <w:rFonts w:ascii="Calibri" w:hAnsi="Calibri"/>
                <w:b/>
                <w:color w:val="FFFFFF"/>
                <w:sz w:val="19"/>
              </w:rPr>
              <w:t>Autonomy Level</w:t>
            </w:r>
          </w:p>
        </w:tc>
        <w:tc>
          <w:tcPr>
            <w:tcW w:type="dxa" w:w="2340"/>
            <w:shd w:fill="1B365D"/>
            <w:tcMar>
              <w:top w:w="100" w:type="dxa"/>
              <w:bottom w:w="100" w:type="dxa"/>
              <w:left w:w="100" w:type="dxa"/>
              <w:right w:w="100" w:type="dxa"/>
            </w:tcMar>
          </w:tcPr>
          <w:p>
            <w:r>
              <w:rPr>
                <w:rFonts w:ascii="Calibri" w:hAnsi="Calibri"/>
                <w:b/>
                <w:color w:val="FFFFFF"/>
                <w:sz w:val="19"/>
              </w:rPr>
              <w:t>Feedback &amp; Execution Loop</w:t>
            </w:r>
          </w:p>
        </w:tc>
      </w:tr>
      <w:tr>
        <w:tc>
          <w:tcPr>
            <w:tcW w:type="dxa" w:w="2340"/>
            <w:shd w:fill="F0F4F8"/>
            <w:tcMar>
              <w:top w:w="80" w:type="dxa"/>
              <w:bottom w:w="80" w:type="dxa"/>
              <w:left w:w="100" w:type="dxa"/>
              <w:right w:w="100" w:type="dxa"/>
            </w:tcMar>
          </w:tcPr>
          <w:p>
            <w:r>
              <w:rPr>
                <w:rFonts w:ascii="Calibri" w:hAnsi="Calibri"/>
                <w:b/>
                <w:color w:val="222222"/>
                <w:sz w:val="18"/>
              </w:rPr>
              <w:t>Inline Auto-complete (e.g., Copilot)</w:t>
            </w:r>
          </w:p>
        </w:tc>
        <w:tc>
          <w:tcPr>
            <w:tcW w:type="dxa" w:w="2340"/>
            <w:shd w:fill="F0F4F8"/>
            <w:tcMar>
              <w:top w:w="80" w:type="dxa"/>
              <w:bottom w:w="80" w:type="dxa"/>
              <w:left w:w="100" w:type="dxa"/>
              <w:right w:w="100" w:type="dxa"/>
            </w:tcMar>
          </w:tcPr>
          <w:p>
            <w:r>
              <w:rPr>
                <w:rFonts w:ascii="Calibri" w:hAnsi="Calibri"/>
                <w:color w:val="222222"/>
                <w:sz w:val="18"/>
              </w:rPr>
              <w:t>Line/block code suggestion inside editor.</w:t>
            </w:r>
          </w:p>
        </w:tc>
        <w:tc>
          <w:tcPr>
            <w:tcW w:type="dxa" w:w="2340"/>
            <w:shd w:fill="F0F4F8"/>
            <w:tcMar>
              <w:top w:w="80" w:type="dxa"/>
              <w:bottom w:w="80" w:type="dxa"/>
              <w:left w:w="100" w:type="dxa"/>
              <w:right w:w="100" w:type="dxa"/>
            </w:tcMar>
          </w:tcPr>
          <w:p>
            <w:r>
              <w:rPr>
                <w:rFonts w:ascii="Calibri" w:hAnsi="Calibri"/>
                <w:color w:val="222222"/>
                <w:sz w:val="18"/>
              </w:rPr>
              <w:t>Low; user accepts/rejects snippet.</w:t>
            </w:r>
          </w:p>
        </w:tc>
        <w:tc>
          <w:tcPr>
            <w:tcW w:type="dxa" w:w="2340"/>
            <w:shd w:fill="F0F4F8"/>
            <w:tcMar>
              <w:top w:w="80" w:type="dxa"/>
              <w:bottom w:w="80" w:type="dxa"/>
              <w:left w:w="100" w:type="dxa"/>
              <w:right w:w="100" w:type="dxa"/>
            </w:tcMar>
          </w:tcPr>
          <w:p>
            <w:r>
              <w:rPr>
                <w:rFonts w:ascii="Calibri" w:hAnsi="Calibri"/>
                <w:color w:val="222222"/>
                <w:sz w:val="18"/>
              </w:rPr>
              <w:t>Developer manual editing &amp; testing.</w:t>
            </w:r>
          </w:p>
        </w:tc>
      </w:tr>
      <w:tr>
        <w:tc>
          <w:tcPr>
            <w:tcW w:type="dxa" w:w="2340"/>
            <w:shd w:fill="FFFFFF"/>
            <w:tcMar>
              <w:top w:w="80" w:type="dxa"/>
              <w:bottom w:w="80" w:type="dxa"/>
              <w:left w:w="100" w:type="dxa"/>
              <w:right w:w="100" w:type="dxa"/>
            </w:tcMar>
          </w:tcPr>
          <w:p>
            <w:r>
              <w:rPr>
                <w:rFonts w:ascii="Calibri" w:hAnsi="Calibri"/>
                <w:b/>
                <w:color w:val="222222"/>
                <w:sz w:val="18"/>
              </w:rPr>
              <w:t>Chat Extensions (e.g., Sidebars)</w:t>
            </w:r>
          </w:p>
        </w:tc>
        <w:tc>
          <w:tcPr>
            <w:tcW w:type="dxa" w:w="2340"/>
            <w:shd w:fill="FFFFFF"/>
            <w:tcMar>
              <w:top w:w="80" w:type="dxa"/>
              <w:bottom w:w="80" w:type="dxa"/>
              <w:left w:w="100" w:type="dxa"/>
              <w:right w:w="100" w:type="dxa"/>
            </w:tcMar>
          </w:tcPr>
          <w:p>
            <w:r>
              <w:rPr>
                <w:rFonts w:ascii="Calibri" w:hAnsi="Calibri"/>
                <w:color w:val="222222"/>
                <w:sz w:val="18"/>
              </w:rPr>
              <w:t>Conversational Q&amp;A and code block generation.</w:t>
            </w:r>
          </w:p>
        </w:tc>
        <w:tc>
          <w:tcPr>
            <w:tcW w:type="dxa" w:w="2340"/>
            <w:shd w:fill="FFFFFF"/>
            <w:tcMar>
              <w:top w:w="80" w:type="dxa"/>
              <w:bottom w:w="80" w:type="dxa"/>
              <w:left w:w="100" w:type="dxa"/>
              <w:right w:w="100" w:type="dxa"/>
            </w:tcMar>
          </w:tcPr>
          <w:p>
            <w:r>
              <w:rPr>
                <w:rFonts w:ascii="Calibri" w:hAnsi="Calibri"/>
                <w:color w:val="222222"/>
                <w:sz w:val="18"/>
              </w:rPr>
              <w:t>Medium; copy-paste or single-file diff.</w:t>
            </w:r>
          </w:p>
        </w:tc>
        <w:tc>
          <w:tcPr>
            <w:tcW w:type="dxa" w:w="2340"/>
            <w:shd w:fill="FFFFFF"/>
            <w:tcMar>
              <w:top w:w="80" w:type="dxa"/>
              <w:bottom w:w="80" w:type="dxa"/>
              <w:left w:w="100" w:type="dxa"/>
              <w:right w:w="100" w:type="dxa"/>
            </w:tcMar>
          </w:tcPr>
          <w:p>
            <w:r>
              <w:rPr>
                <w:rFonts w:ascii="Calibri" w:hAnsi="Calibri"/>
                <w:color w:val="222222"/>
                <w:sz w:val="18"/>
              </w:rPr>
              <w:t>Developer copies code into codebase.</w:t>
            </w:r>
          </w:p>
        </w:tc>
      </w:tr>
      <w:tr>
        <w:tc>
          <w:tcPr>
            <w:tcW w:type="dxa" w:w="2340"/>
            <w:shd w:fill="F0F4F8"/>
            <w:tcMar>
              <w:top w:w="80" w:type="dxa"/>
              <w:bottom w:w="80" w:type="dxa"/>
              <w:left w:w="100" w:type="dxa"/>
              <w:right w:w="100" w:type="dxa"/>
            </w:tcMar>
          </w:tcPr>
          <w:p>
            <w:r>
              <w:rPr>
                <w:rFonts w:ascii="Calibri" w:hAnsi="Calibri"/>
                <w:b/>
                <w:color w:val="222222"/>
                <w:sz w:val="18"/>
              </w:rPr>
              <w:t>Agentic CLI Platforms (Google Antigravity / agy)</w:t>
            </w:r>
          </w:p>
        </w:tc>
        <w:tc>
          <w:tcPr>
            <w:tcW w:type="dxa" w:w="2340"/>
            <w:shd w:fill="F0F4F8"/>
            <w:tcMar>
              <w:top w:w="80" w:type="dxa"/>
              <w:bottom w:w="80" w:type="dxa"/>
              <w:left w:w="100" w:type="dxa"/>
              <w:right w:w="100" w:type="dxa"/>
            </w:tcMar>
          </w:tcPr>
          <w:p>
            <w:r>
              <w:rPr>
                <w:rFonts w:ascii="Calibri" w:hAnsi="Calibri"/>
                <w:color w:val="222222"/>
                <w:sz w:val="18"/>
              </w:rPr>
              <w:t>Autonomous multi-file editing, CLI test execution, and shell orchestration.</w:t>
            </w:r>
          </w:p>
        </w:tc>
        <w:tc>
          <w:tcPr>
            <w:tcW w:type="dxa" w:w="2340"/>
            <w:shd w:fill="F0F4F8"/>
            <w:tcMar>
              <w:top w:w="80" w:type="dxa"/>
              <w:bottom w:w="80" w:type="dxa"/>
              <w:left w:w="100" w:type="dxa"/>
              <w:right w:w="100" w:type="dxa"/>
            </w:tcMar>
          </w:tcPr>
          <w:p>
            <w:r>
              <w:rPr>
                <w:rFonts w:ascii="Calibri" w:hAnsi="Calibri"/>
                <w:color w:val="222222"/>
                <w:sz w:val="18"/>
              </w:rPr>
              <w:t>High; autonomous planning &amp; multi-file refactoring.</w:t>
            </w:r>
          </w:p>
        </w:tc>
        <w:tc>
          <w:tcPr>
            <w:tcW w:type="dxa" w:w="2340"/>
            <w:shd w:fill="F0F4F8"/>
            <w:tcMar>
              <w:top w:w="80" w:type="dxa"/>
              <w:bottom w:w="80" w:type="dxa"/>
              <w:left w:w="100" w:type="dxa"/>
              <w:right w:w="100" w:type="dxa"/>
            </w:tcMar>
          </w:tcPr>
          <w:p>
            <w:r>
              <w:rPr>
                <w:rFonts w:ascii="Calibri" w:hAnsi="Calibri"/>
                <w:color w:val="222222"/>
                <w:sz w:val="18"/>
              </w:rPr>
              <w:t>Agent executes tests, inspects output, and self-corrects.</w:t>
            </w:r>
          </w:p>
        </w:tc>
      </w:tr>
    </w:tbl>
    <w:p>
      <w:pPr>
        <w:spacing w:before="360" w:after="120"/>
      </w:pPr>
      <w:r>
        <w:rPr>
          <w:rFonts w:ascii="Calibri" w:hAnsi="Calibri"/>
          <w:b/>
          <w:color w:val="1B365D"/>
          <w:sz w:val="30"/>
        </w:rPr>
        <w:t>5. The C-L-E-A-R Framework for Technical Prompting</w:t>
      </w:r>
    </w:p>
    <w:p>
      <w:pPr>
        <w:pStyle w:val="ListBullet"/>
        <w:spacing w:before="40" w:after="80"/>
      </w:pPr>
      <w:r>
        <w:rPr>
          <w:rFonts w:ascii="Calibri" w:hAnsi="Calibri"/>
          <w:b/>
          <w:color w:val="0073E6"/>
          <w:sz w:val="21"/>
        </w:rPr>
        <w:t xml:space="preserve">C - Context: </w:t>
      </w:r>
      <w:r>
        <w:rPr>
          <w:rFonts w:ascii="Calibri" w:hAnsi="Calibri"/>
          <w:color w:val="222222"/>
          <w:sz w:val="21"/>
        </w:rPr>
        <w:t>Specify exact software tooling names, ecosystem, and domain (e.g., Google Antigravity, agy Go CLI).</w:t>
      </w:r>
    </w:p>
    <w:p>
      <w:pPr>
        <w:pStyle w:val="ListBullet"/>
        <w:spacing w:before="40" w:after="80"/>
      </w:pPr>
      <w:r>
        <w:rPr>
          <w:rFonts w:ascii="Calibri" w:hAnsi="Calibri"/>
          <w:b/>
          <w:color w:val="0073E6"/>
          <w:sz w:val="21"/>
        </w:rPr>
        <w:t xml:space="preserve">L - Limit: </w:t>
      </w:r>
      <w:r>
        <w:rPr>
          <w:rFonts w:ascii="Calibri" w:hAnsi="Calibri"/>
          <w:color w:val="222222"/>
          <w:sz w:val="21"/>
        </w:rPr>
        <w:t>Set length limits, technical scope, and operational safety boundaries.</w:t>
      </w:r>
    </w:p>
    <w:p>
      <w:pPr>
        <w:pStyle w:val="ListBullet"/>
        <w:spacing w:before="40" w:after="80"/>
      </w:pPr>
      <w:r>
        <w:rPr>
          <w:rFonts w:ascii="Calibri" w:hAnsi="Calibri"/>
          <w:b/>
          <w:color w:val="0073E6"/>
          <w:sz w:val="21"/>
        </w:rPr>
        <w:t xml:space="preserve">E - Executive Role: </w:t>
      </w:r>
      <w:r>
        <w:rPr>
          <w:rFonts w:ascii="Calibri" w:hAnsi="Calibri"/>
          <w:color w:val="222222"/>
          <w:sz w:val="21"/>
        </w:rPr>
        <w:t>Assign specialized persona (e.g., DevTools Architect, Principal Engineer).</w:t>
      </w:r>
    </w:p>
    <w:p>
      <w:pPr>
        <w:pStyle w:val="ListBullet"/>
        <w:spacing w:before="40" w:after="80"/>
      </w:pPr>
      <w:r>
        <w:rPr>
          <w:rFonts w:ascii="Calibri" w:hAnsi="Calibri"/>
          <w:b/>
          <w:color w:val="0073E6"/>
          <w:sz w:val="21"/>
        </w:rPr>
        <w:t xml:space="preserve">A - Actionable Task: </w:t>
      </w:r>
      <w:r>
        <w:rPr>
          <w:rFonts w:ascii="Calibri" w:hAnsi="Calibri"/>
          <w:color w:val="222222"/>
          <w:sz w:val="21"/>
        </w:rPr>
        <w:t>Require precise features, CLI flags, slash commands, and workflows.</w:t>
      </w:r>
    </w:p>
    <w:p>
      <w:pPr>
        <w:pStyle w:val="ListBullet"/>
        <w:spacing w:before="40" w:after="80"/>
      </w:pPr>
      <w:r>
        <w:rPr>
          <w:rFonts w:ascii="Calibri" w:hAnsi="Calibri"/>
          <w:b/>
          <w:color w:val="0073E6"/>
          <w:sz w:val="21"/>
        </w:rPr>
        <w:t xml:space="preserve">R - Result Formatting: </w:t>
      </w:r>
      <w:r>
        <w:rPr>
          <w:rFonts w:ascii="Calibri" w:hAnsi="Calibri"/>
          <w:color w:val="222222"/>
          <w:sz w:val="21"/>
        </w:rPr>
        <w:t>Mandate clear section headers, command blocks, and comparative matrix tables.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