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40"/>
      </w:pPr>
      <w:r>
        <w:rPr>
          <w:rFonts w:ascii="Calibri" w:hAnsi="Calibri"/>
          <w:b/>
          <w:color w:val="1B365D"/>
          <w:sz w:val="52"/>
        </w:rPr>
        <w:t>Large Language Models (LLMs)</w:t>
      </w:r>
    </w:p>
    <w:p>
      <w:pPr>
        <w:spacing w:before="0" w:after="280"/>
      </w:pPr>
      <w:r>
        <w:rPr>
          <w:rFonts w:ascii="Calibri" w:hAnsi="Calibri"/>
          <w:i/>
          <w:color w:val="555555"/>
          <w:sz w:val="26"/>
        </w:rPr>
        <w:t>A Comprehensive Overview of Architecture, Types, Applications, and Limitations</w:t>
      </w:r>
    </w:p>
    <w:p>
      <w:pPr>
        <w:spacing w:after="280"/>
      </w:pPr>
      <w:r>
        <w:rPr>
          <w:color w:val="0073E6"/>
        </w:rPr>
        <w:t>――――――――――――――――――――――――――――――――――――――――――――――――――――――</w:t>
      </w:r>
    </w:p>
    <w:p>
      <w:pPr>
        <w:spacing w:before="160" w:after="120"/>
      </w:pPr>
      <w:r>
        <w:rPr>
          <w:rFonts w:ascii="Calibri" w:hAnsi="Calibri"/>
          <w:b/>
          <w:color w:val="1B365D"/>
          <w:sz w:val="30"/>
        </w:rPr>
        <w:t>1. Executive Summary</w:t>
      </w:r>
    </w:p>
    <w:p>
      <w:pPr>
        <w:spacing w:before="0" w:after="160"/>
      </w:pPr>
      <w:r>
        <w:rPr>
          <w:rFonts w:ascii="Calibri" w:hAnsi="Calibri"/>
          <w:color w:val="222222"/>
          <w:sz w:val="22"/>
        </w:rPr>
        <w:t>Large Language Models (LLMs) represent a foundational advancement in Artificial Intelligence and Natural Language Processing (NLP). Built primarily on Transformer architectures and trained on massive text corpora, LLMs understand, summarize, translate, and generate human-like text across a wide array of domains.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fill="F0F4F8"/>
            <w:tcBorders>
              <w:top w:val="none"/>
              <w:left w:val="single" w:sz="36" w:space="0" w:color="0073E6"/>
              <w:bottom w:val="none"/>
              <w:right w:val="none"/>
            </w:tcBorders>
            <w:tcMar>
              <w:top w:w="120" w:type="dxa"/>
              <w:bottom w:w="120" w:type="dxa"/>
              <w:left w:w="180" w:type="dxa"/>
              <w:right w:w="18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i/>
                <w:color w:val="1B365D"/>
                <w:sz w:val="21"/>
              </w:rPr>
              <w:t>Core Paradigm: Modern LLMs leverage self-attention mechanisms to capture complex contextual relationships, enabling zero-shot learning, reasoning, and autonomous multi-turn task completion.</w:t>
            </w:r>
          </w:p>
        </w:tc>
      </w:tr>
    </w:tbl>
    <w:p>
      <w:pPr>
        <w:spacing w:before="320" w:after="120"/>
      </w:pPr>
      <w:r>
        <w:rPr>
          <w:rFonts w:ascii="Calibri" w:hAnsi="Calibri"/>
          <w:b/>
          <w:color w:val="1B365D"/>
          <w:sz w:val="30"/>
        </w:rPr>
        <w:t>2. Comprehensive Taxonomy and Types of LLMs</w:t>
      </w:r>
    </w:p>
    <w:p>
      <w:pPr>
        <w:spacing w:before="0" w:after="160"/>
      </w:pPr>
      <w:r>
        <w:t>Large Language Models can be categorized based on their underlying architectural design, training objectives, specialization, and deployment scale:</w:t>
      </w:r>
    </w:p>
    <w:p>
      <w:pPr>
        <w:pStyle w:val="ListBullet"/>
        <w:spacing w:before="60" w:after="80"/>
      </w:pPr>
      <w:r>
        <w:rPr>
          <w:rFonts w:ascii="Calibri" w:hAnsi="Calibri"/>
          <w:b/>
          <w:color w:val="1B365D"/>
          <w:sz w:val="21"/>
        </w:rPr>
        <w:t xml:space="preserve">Auto-Regressive / Decoder-Only Models: </w:t>
      </w:r>
      <w:r>
        <w:rPr>
          <w:rFonts w:ascii="Calibri" w:hAnsi="Calibri"/>
          <w:color w:val="222222"/>
          <w:sz w:val="21"/>
        </w:rPr>
        <w:t>Optimized for text generation by predicting the next token in a sequence conditioned on previous tokens. Examples include OpenAI's GPT series, Meta's LLaMA, and Google's Gemini decoder models. Ideal for creative writing, chat, and reasoning.</w:t>
      </w:r>
    </w:p>
    <w:p>
      <w:pPr>
        <w:pStyle w:val="ListBullet"/>
        <w:spacing w:before="60" w:after="80"/>
      </w:pPr>
      <w:r>
        <w:rPr>
          <w:rFonts w:ascii="Calibri" w:hAnsi="Calibri"/>
          <w:b/>
          <w:color w:val="1B365D"/>
          <w:sz w:val="21"/>
        </w:rPr>
        <w:t xml:space="preserve">Auto-Encoding / Encoder-Only Models: </w:t>
      </w:r>
      <w:r>
        <w:rPr>
          <w:rFonts w:ascii="Calibri" w:hAnsi="Calibri"/>
          <w:color w:val="222222"/>
          <w:sz w:val="21"/>
        </w:rPr>
        <w:t>Designed to process bidirectional context (reading left-to-right and right-to-left simultaneously). Examples include BERT and RoBERTa. Best suited for sentence classification, named entity recognition (NER), and semantic search embeddings.</w:t>
      </w:r>
    </w:p>
    <w:p>
      <w:pPr>
        <w:pStyle w:val="ListBullet"/>
        <w:spacing w:before="60" w:after="80"/>
      </w:pPr>
      <w:r>
        <w:rPr>
          <w:rFonts w:ascii="Calibri" w:hAnsi="Calibri"/>
          <w:b/>
          <w:color w:val="1B365D"/>
          <w:sz w:val="21"/>
        </w:rPr>
        <w:t xml:space="preserve">Sequence-to-Sequence / Encoder-Decoder Models: </w:t>
      </w:r>
      <w:r>
        <w:rPr>
          <w:rFonts w:ascii="Calibri" w:hAnsi="Calibri"/>
          <w:color w:val="222222"/>
          <w:sz w:val="21"/>
        </w:rPr>
        <w:t>Combine an encoder to process input sequences with a decoder to generate output sequences. Examples include T5 and BART. Primarily utilized for machine translation, document summarization, and text reformatting.</w:t>
      </w:r>
    </w:p>
    <w:p>
      <w:pPr>
        <w:pStyle w:val="ListBullet"/>
        <w:spacing w:before="60" w:after="80"/>
      </w:pPr>
      <w:r>
        <w:rPr>
          <w:rFonts w:ascii="Calibri" w:hAnsi="Calibri"/>
          <w:b/>
          <w:color w:val="1B365D"/>
          <w:sz w:val="21"/>
        </w:rPr>
        <w:t xml:space="preserve">Instruction-Tuned &amp; Chat Alignment Models: </w:t>
      </w:r>
      <w:r>
        <w:rPr>
          <w:rFonts w:ascii="Calibri" w:hAnsi="Calibri"/>
          <w:color w:val="222222"/>
          <w:sz w:val="21"/>
        </w:rPr>
        <w:t>Base foundational models refined using Instruction Fine-Tuning and Reinforcement Learning from Human Feedback (RLHF). Formatted to follow specific instructions safely and conversationally (e.g., ChatGPT, Claude).</w:t>
      </w:r>
    </w:p>
    <w:p>
      <w:pPr>
        <w:pStyle w:val="ListBullet"/>
        <w:spacing w:before="60" w:after="80"/>
      </w:pPr>
      <w:r>
        <w:rPr>
          <w:rFonts w:ascii="Calibri" w:hAnsi="Calibri"/>
          <w:b/>
          <w:color w:val="1B365D"/>
          <w:sz w:val="21"/>
        </w:rPr>
        <w:t xml:space="preserve">Domain-Specific &amp; Fine-Tuned Models: </w:t>
      </w:r>
      <w:r>
        <w:rPr>
          <w:rFonts w:ascii="Calibri" w:hAnsi="Calibri"/>
          <w:color w:val="222222"/>
          <w:sz w:val="21"/>
        </w:rPr>
        <w:t>LLMs pre-trained or fine-tuned on specialized domain knowledge (e.g., Med-PaLM for healthcare, BloombergGPT for finance, Codex for software engineering) to achieve elevated accuracy in technical fields.</w:t>
      </w:r>
    </w:p>
    <w:p>
      <w:pPr>
        <w:pStyle w:val="ListBullet"/>
        <w:spacing w:before="60" w:after="80"/>
      </w:pPr>
      <w:r>
        <w:rPr>
          <w:rFonts w:ascii="Calibri" w:hAnsi="Calibri"/>
          <w:b/>
          <w:color w:val="1B365D"/>
          <w:sz w:val="21"/>
        </w:rPr>
        <w:t xml:space="preserve">Multimodal LLMs (MLLMs): </w:t>
      </w:r>
      <w:r>
        <w:rPr>
          <w:rFonts w:ascii="Calibri" w:hAnsi="Calibri"/>
          <w:color w:val="222222"/>
          <w:sz w:val="21"/>
        </w:rPr>
        <w:t>Advanced models capable of processing and generating multiple modalities natively—including text, images, audio, and video—such as GPT-4o and Gemini Ultra.</w:t>
      </w:r>
    </w:p>
    <w:p>
      <w:pPr>
        <w:pStyle w:val="ListBullet"/>
        <w:spacing w:before="60" w:after="80"/>
      </w:pPr>
      <w:r>
        <w:rPr>
          <w:rFonts w:ascii="Calibri" w:hAnsi="Calibri"/>
          <w:b/>
          <w:color w:val="1B365D"/>
          <w:sz w:val="21"/>
        </w:rPr>
        <w:t xml:space="preserve">Small Language Models (SLMs) &amp; Edge Models: </w:t>
      </w:r>
      <w:r>
        <w:rPr>
          <w:rFonts w:ascii="Calibri" w:hAnsi="Calibri"/>
          <w:color w:val="222222"/>
          <w:sz w:val="21"/>
        </w:rPr>
        <w:t>Quantized and distilled models (e.g., Microsoft Phi-3, Mistral 7B, Gemma 2B) optimized to run efficiently on localized devices, smartphones, and low-latency edge servers.</w:t>
      </w:r>
    </w:p>
    <w:p>
      <w:pPr>
        <w:spacing w:before="320" w:after="120"/>
      </w:pPr>
      <w:r>
        <w:rPr>
          <w:rFonts w:ascii="Calibri" w:hAnsi="Calibri"/>
          <w:b/>
          <w:color w:val="1B365D"/>
          <w:sz w:val="30"/>
        </w:rPr>
        <w:t>3. Underlying Architecture &amp; Training Stages</w:t>
      </w:r>
    </w:p>
    <w:p>
      <w:pPr>
        <w:pStyle w:val="ListBullet"/>
        <w:spacing w:before="40" w:after="80"/>
      </w:pPr>
      <w:r>
        <w:rPr>
          <w:rFonts w:ascii="Calibri" w:hAnsi="Calibri"/>
          <w:b/>
          <w:color w:val="0073E6"/>
          <w:sz w:val="21"/>
        </w:rPr>
        <w:t xml:space="preserve">Transformer Backbone: </w:t>
      </w:r>
      <w:r>
        <w:rPr>
          <w:rFonts w:ascii="Calibri" w:hAnsi="Calibri"/>
          <w:color w:val="222222"/>
          <w:sz w:val="21"/>
        </w:rPr>
        <w:t>Introduced in 2017, the Transformer relies on self-attention layers to weight token relationships dynamically across sequences.</w:t>
      </w:r>
    </w:p>
    <w:p>
      <w:pPr>
        <w:pStyle w:val="ListBullet"/>
        <w:spacing w:before="40" w:after="80"/>
      </w:pPr>
      <w:r>
        <w:rPr>
          <w:rFonts w:ascii="Calibri" w:hAnsi="Calibri"/>
          <w:b/>
          <w:color w:val="0073E6"/>
          <w:sz w:val="21"/>
        </w:rPr>
        <w:t xml:space="preserve">Pre-training (Unsupervised): </w:t>
      </w:r>
      <w:r>
        <w:rPr>
          <w:rFonts w:ascii="Calibri" w:hAnsi="Calibri"/>
          <w:color w:val="222222"/>
          <w:sz w:val="21"/>
        </w:rPr>
        <w:t>Models learn syntax, factual relationships, and reasoning primitives by predicting tokens across petabytes of web data.</w:t>
      </w:r>
    </w:p>
    <w:p>
      <w:pPr>
        <w:pStyle w:val="ListBullet"/>
        <w:spacing w:before="40" w:after="80"/>
      </w:pPr>
      <w:r>
        <w:rPr>
          <w:rFonts w:ascii="Calibri" w:hAnsi="Calibri"/>
          <w:b/>
          <w:color w:val="0073E6"/>
          <w:sz w:val="21"/>
        </w:rPr>
        <w:t xml:space="preserve">Fine-Tuning &amp; Alignment (RLHF): </w:t>
      </w:r>
      <w:r>
        <w:rPr>
          <w:rFonts w:ascii="Calibri" w:hAnsi="Calibri"/>
          <w:color w:val="222222"/>
          <w:sz w:val="21"/>
        </w:rPr>
        <w:t>Aligns base probabilities with human intent, safety guidelines, and conversational tone.</w:t>
      </w:r>
    </w:p>
    <w:p>
      <w:pPr>
        <w:spacing w:before="320" w:after="120"/>
      </w:pPr>
      <w:r>
        <w:rPr>
          <w:rFonts w:ascii="Calibri" w:hAnsi="Calibri"/>
          <w:b/>
          <w:color w:val="1B365D"/>
          <w:sz w:val="30"/>
        </w:rPr>
        <w:t>4. Enterprise &amp; Real-World Applications</w:t>
      </w:r>
    </w:p>
    <w:p>
      <w:pPr>
        <w:pStyle w:val="ListBullet"/>
        <w:spacing w:before="40" w:after="80"/>
      </w:pPr>
      <w:r>
        <w:rPr>
          <w:rFonts w:ascii="Calibri" w:hAnsi="Calibri"/>
          <w:b/>
          <w:color w:val="1B365D"/>
          <w:sz w:val="21"/>
        </w:rPr>
        <w:t xml:space="preserve">Automated Software Engineering: </w:t>
      </w:r>
      <w:r>
        <w:rPr>
          <w:rFonts w:ascii="Calibri" w:hAnsi="Calibri"/>
          <w:color w:val="222222"/>
          <w:sz w:val="21"/>
        </w:rPr>
        <w:t>Generating, debugging, and refactoring source code in languages such as Python, C++, and Go.</w:t>
      </w:r>
    </w:p>
    <w:p>
      <w:pPr>
        <w:pStyle w:val="ListBullet"/>
        <w:spacing w:before="40" w:after="80"/>
      </w:pPr>
      <w:r>
        <w:rPr>
          <w:rFonts w:ascii="Calibri" w:hAnsi="Calibri"/>
          <w:b/>
          <w:color w:val="1B365D"/>
          <w:sz w:val="21"/>
        </w:rPr>
        <w:t xml:space="preserve">Document Synthesis &amp; Summarization: </w:t>
      </w:r>
      <w:r>
        <w:rPr>
          <w:rFonts w:ascii="Calibri" w:hAnsi="Calibri"/>
          <w:color w:val="222222"/>
          <w:sz w:val="21"/>
        </w:rPr>
        <w:t>Summarizing legal documents, scientific literature, and corporate reports into actionable insights.</w:t>
      </w:r>
    </w:p>
    <w:p>
      <w:pPr>
        <w:pStyle w:val="ListBullet"/>
        <w:spacing w:before="40" w:after="80"/>
      </w:pPr>
      <w:r>
        <w:rPr>
          <w:rFonts w:ascii="Calibri" w:hAnsi="Calibri"/>
          <w:b/>
          <w:color w:val="1B365D"/>
          <w:sz w:val="21"/>
        </w:rPr>
        <w:t xml:space="preserve">Conversational Customer Experience: </w:t>
      </w:r>
      <w:r>
        <w:rPr>
          <w:rFonts w:ascii="Calibri" w:hAnsi="Calibri"/>
          <w:color w:val="222222"/>
          <w:sz w:val="21"/>
        </w:rPr>
        <w:t>Powering intelligent virtual assistants for multi-turn customer interaction.</w:t>
      </w:r>
    </w:p>
    <w:p>
      <w:pPr>
        <w:pStyle w:val="ListBullet"/>
        <w:spacing w:before="40" w:after="80"/>
      </w:pPr>
      <w:r>
        <w:rPr>
          <w:rFonts w:ascii="Calibri" w:hAnsi="Calibri"/>
          <w:b/>
          <w:color w:val="1B365D"/>
          <w:sz w:val="21"/>
        </w:rPr>
        <w:t xml:space="preserve">Data Extraction &amp; Analytics: </w:t>
      </w:r>
      <w:r>
        <w:rPr>
          <w:rFonts w:ascii="Calibri" w:hAnsi="Calibri"/>
          <w:color w:val="222222"/>
          <w:sz w:val="21"/>
        </w:rPr>
        <w:t>Converting unstructured textual data into structured tables, databases, and key-value pairs.</w:t>
      </w:r>
    </w:p>
    <w:p>
      <w:pPr>
        <w:spacing w:before="320" w:after="120"/>
      </w:pPr>
      <w:r>
        <w:rPr>
          <w:rFonts w:ascii="Calibri" w:hAnsi="Calibri"/>
          <w:b/>
          <w:color w:val="1B365D"/>
          <w:sz w:val="30"/>
        </w:rPr>
        <w:t>5. LLM Archetype Comparison Matrix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shd w:fill="1B365D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r>
              <w:rPr>
                <w:rFonts w:ascii="Calibri" w:hAnsi="Calibri"/>
                <w:b/>
                <w:color w:val="FFFFFF"/>
                <w:sz w:val="19"/>
              </w:rPr>
              <w:t>LLM Category</w:t>
            </w:r>
          </w:p>
        </w:tc>
        <w:tc>
          <w:tcPr>
            <w:tcW w:type="dxa" w:w="2340"/>
            <w:shd w:fill="1B365D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r>
              <w:rPr>
                <w:rFonts w:ascii="Calibri" w:hAnsi="Calibri"/>
                <w:b/>
                <w:color w:val="FFFFFF"/>
                <w:sz w:val="19"/>
              </w:rPr>
              <w:t>Primary Mechanism</w:t>
            </w:r>
          </w:p>
        </w:tc>
        <w:tc>
          <w:tcPr>
            <w:tcW w:type="dxa" w:w="2340"/>
            <w:shd w:fill="1B365D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r>
              <w:rPr>
                <w:rFonts w:ascii="Calibri" w:hAnsi="Calibri"/>
                <w:b/>
                <w:color w:val="FFFFFF"/>
                <w:sz w:val="19"/>
              </w:rPr>
              <w:t>Best Use Cases</w:t>
            </w:r>
          </w:p>
        </w:tc>
        <w:tc>
          <w:tcPr>
            <w:tcW w:type="dxa" w:w="2340"/>
            <w:shd w:fill="1B365D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r>
              <w:rPr>
                <w:rFonts w:ascii="Calibri" w:hAnsi="Calibri"/>
                <w:b/>
                <w:color w:val="FFFFFF"/>
                <w:sz w:val="19"/>
              </w:rPr>
              <w:t>Representative Models</w:t>
            </w:r>
          </w:p>
        </w:tc>
      </w:tr>
      <w:tr>
        <w:tc>
          <w:tcPr>
            <w:tcW w:type="dxa" w:w="2340"/>
            <w:shd w:fill="F0F4F8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Calibri" w:hAnsi="Calibri"/>
                <w:b/>
                <w:color w:val="222222"/>
                <w:sz w:val="18"/>
              </w:rPr>
              <w:t>Decoder-Only (Auto-Regressive)</w:t>
            </w:r>
          </w:p>
        </w:tc>
        <w:tc>
          <w:tcPr>
            <w:tcW w:type="dxa" w:w="2340"/>
            <w:shd w:fill="F0F4F8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Calibri" w:hAnsi="Calibri"/>
                <w:color w:val="222222"/>
                <w:sz w:val="18"/>
              </w:rPr>
              <w:t>Next-token prediction</w:t>
            </w:r>
          </w:p>
        </w:tc>
        <w:tc>
          <w:tcPr>
            <w:tcW w:type="dxa" w:w="2340"/>
            <w:shd w:fill="F0F4F8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Calibri" w:hAnsi="Calibri"/>
                <w:color w:val="222222"/>
                <w:sz w:val="18"/>
              </w:rPr>
              <w:t>Text generation, coding, multi-turn chat</w:t>
            </w:r>
          </w:p>
        </w:tc>
        <w:tc>
          <w:tcPr>
            <w:tcW w:type="dxa" w:w="2340"/>
            <w:shd w:fill="F0F4F8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Calibri" w:hAnsi="Calibri"/>
                <w:color w:val="222222"/>
                <w:sz w:val="18"/>
              </w:rPr>
              <w:t>GPT-4, LLaMA 3, Gemini</w:t>
            </w:r>
          </w:p>
        </w:tc>
      </w:tr>
      <w:tr>
        <w:tc>
          <w:tcPr>
            <w:tcW w:type="dxa" w:w="2340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Calibri" w:hAnsi="Calibri"/>
                <w:b/>
                <w:color w:val="222222"/>
                <w:sz w:val="18"/>
              </w:rPr>
              <w:t>Encoder-Only (Auto-Encoding)</w:t>
            </w:r>
          </w:p>
        </w:tc>
        <w:tc>
          <w:tcPr>
            <w:tcW w:type="dxa" w:w="2340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Calibri" w:hAnsi="Calibri"/>
                <w:color w:val="222222"/>
                <w:sz w:val="18"/>
              </w:rPr>
              <w:t>Bidirectional context understanding</w:t>
            </w:r>
          </w:p>
        </w:tc>
        <w:tc>
          <w:tcPr>
            <w:tcW w:type="dxa" w:w="2340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Calibri" w:hAnsi="Calibri"/>
                <w:color w:val="222222"/>
                <w:sz w:val="18"/>
              </w:rPr>
              <w:t>Classification, NER, semantic search</w:t>
            </w:r>
          </w:p>
        </w:tc>
        <w:tc>
          <w:tcPr>
            <w:tcW w:type="dxa" w:w="2340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Calibri" w:hAnsi="Calibri"/>
                <w:color w:val="222222"/>
                <w:sz w:val="18"/>
              </w:rPr>
              <w:t>BERT, RoBERTa</w:t>
            </w:r>
          </w:p>
        </w:tc>
      </w:tr>
      <w:tr>
        <w:tc>
          <w:tcPr>
            <w:tcW w:type="dxa" w:w="2340"/>
            <w:shd w:fill="F0F4F8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Calibri" w:hAnsi="Calibri"/>
                <w:b/>
                <w:color w:val="222222"/>
                <w:sz w:val="18"/>
              </w:rPr>
              <w:t>Encoder-Decoder (Seq2Seq)</w:t>
            </w:r>
          </w:p>
        </w:tc>
        <w:tc>
          <w:tcPr>
            <w:tcW w:type="dxa" w:w="2340"/>
            <w:shd w:fill="F0F4F8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Calibri" w:hAnsi="Calibri"/>
                <w:color w:val="222222"/>
                <w:sz w:val="18"/>
              </w:rPr>
              <w:t>Mapping input to output sequence</w:t>
            </w:r>
          </w:p>
        </w:tc>
        <w:tc>
          <w:tcPr>
            <w:tcW w:type="dxa" w:w="2340"/>
            <w:shd w:fill="F0F4F8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Calibri" w:hAnsi="Calibri"/>
                <w:color w:val="222222"/>
                <w:sz w:val="18"/>
              </w:rPr>
              <w:t>Translation, summarization</w:t>
            </w:r>
          </w:p>
        </w:tc>
        <w:tc>
          <w:tcPr>
            <w:tcW w:type="dxa" w:w="2340"/>
            <w:shd w:fill="F0F4F8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Calibri" w:hAnsi="Calibri"/>
                <w:color w:val="222222"/>
                <w:sz w:val="18"/>
              </w:rPr>
              <w:t>T5, BART</w:t>
            </w:r>
          </w:p>
        </w:tc>
      </w:tr>
      <w:tr>
        <w:tc>
          <w:tcPr>
            <w:tcW w:type="dxa" w:w="2340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Calibri" w:hAnsi="Calibri"/>
                <w:b/>
                <w:color w:val="222222"/>
                <w:sz w:val="18"/>
              </w:rPr>
              <w:t>Multimodal LLMs (MLLM)</w:t>
            </w:r>
          </w:p>
        </w:tc>
        <w:tc>
          <w:tcPr>
            <w:tcW w:type="dxa" w:w="2340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Calibri" w:hAnsi="Calibri"/>
                <w:color w:val="222222"/>
                <w:sz w:val="18"/>
              </w:rPr>
              <w:t>Cross-modal processing</w:t>
            </w:r>
          </w:p>
        </w:tc>
        <w:tc>
          <w:tcPr>
            <w:tcW w:type="dxa" w:w="2340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Calibri" w:hAnsi="Calibri"/>
                <w:color w:val="222222"/>
                <w:sz w:val="18"/>
              </w:rPr>
              <w:t>Vision-language, audio reasoning</w:t>
            </w:r>
          </w:p>
        </w:tc>
        <w:tc>
          <w:tcPr>
            <w:tcW w:type="dxa" w:w="2340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Calibri" w:hAnsi="Calibri"/>
                <w:color w:val="222222"/>
                <w:sz w:val="18"/>
              </w:rPr>
              <w:t>GPT-4o, Gemini 1.5 Pro</w:t>
            </w:r>
          </w:p>
        </w:tc>
      </w:tr>
      <w:tr>
        <w:tc>
          <w:tcPr>
            <w:tcW w:type="dxa" w:w="2340"/>
            <w:shd w:fill="F0F4F8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Calibri" w:hAnsi="Calibri"/>
                <w:b/>
                <w:color w:val="222222"/>
                <w:sz w:val="18"/>
              </w:rPr>
              <w:t>Small Language Models (SLM)</w:t>
            </w:r>
          </w:p>
        </w:tc>
        <w:tc>
          <w:tcPr>
            <w:tcW w:type="dxa" w:w="2340"/>
            <w:shd w:fill="F0F4F8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Calibri" w:hAnsi="Calibri"/>
                <w:color w:val="222222"/>
                <w:sz w:val="18"/>
              </w:rPr>
              <w:t>Compact parameter efficiency</w:t>
            </w:r>
          </w:p>
        </w:tc>
        <w:tc>
          <w:tcPr>
            <w:tcW w:type="dxa" w:w="2340"/>
            <w:shd w:fill="F0F4F8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Calibri" w:hAnsi="Calibri"/>
                <w:color w:val="222222"/>
                <w:sz w:val="18"/>
              </w:rPr>
              <w:t>On-device processing, edge deployment</w:t>
            </w:r>
          </w:p>
        </w:tc>
        <w:tc>
          <w:tcPr>
            <w:tcW w:type="dxa" w:w="2340"/>
            <w:shd w:fill="F0F4F8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Calibri" w:hAnsi="Calibri"/>
                <w:color w:val="222222"/>
                <w:sz w:val="18"/>
              </w:rPr>
              <w:t>Phi-3, Gemma 2B, Mistral 7B</w:t>
            </w:r>
          </w:p>
        </w:tc>
      </w:tr>
    </w:tbl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