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411" w:rsidRDefault="00107411" w:rsidP="00107411">
      <w:pPr>
        <w:spacing w:line="360" w:lineRule="auto"/>
        <w:rPr>
          <w:rFonts w:ascii="Bookman Old Style" w:hAnsi="Bookman Old Style" w:cstheme="minorHAnsi"/>
          <w:b/>
          <w:sz w:val="24"/>
          <w:szCs w:val="24"/>
        </w:rPr>
      </w:pPr>
      <w:r>
        <w:rPr>
          <w:rFonts w:ascii="Bookman Old Style" w:hAnsi="Bookman Old Style" w:cstheme="minorHAnsi"/>
          <w:noProof/>
          <w:sz w:val="24"/>
          <w:szCs w:val="24"/>
        </w:rPr>
        <w:drawing>
          <wp:anchor distT="0" distB="0" distL="114300" distR="114300" simplePos="0" relativeHeight="251659264" behindDoc="0" locked="0" layoutInCell="1" allowOverlap="1" wp14:anchorId="54D53EC3" wp14:editId="13D5B288">
            <wp:simplePos x="0" y="0"/>
            <wp:positionH relativeFrom="margin">
              <wp:posOffset>3057525</wp:posOffset>
            </wp:positionH>
            <wp:positionV relativeFrom="paragraph">
              <wp:posOffset>0</wp:posOffset>
            </wp:positionV>
            <wp:extent cx="1514475" cy="1123950"/>
            <wp:effectExtent l="0" t="0" r="9525"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rcRect/>
                    <a:stretch>
                      <a:fillRect/>
                    </a:stretch>
                  </pic:blipFill>
                  <pic:spPr>
                    <a:xfrm>
                      <a:off x="0" y="0"/>
                      <a:ext cx="1514475" cy="1123950"/>
                    </a:xfrm>
                    <a:prstGeom prst="rect">
                      <a:avLst/>
                    </a:prstGeom>
                    <a:noFill/>
                  </pic:spPr>
                </pic:pic>
              </a:graphicData>
            </a:graphic>
          </wp:anchor>
        </w:drawing>
      </w:r>
    </w:p>
    <w:p w:rsidR="00107411" w:rsidRDefault="00107411" w:rsidP="00107411">
      <w:pPr>
        <w:spacing w:line="360" w:lineRule="auto"/>
        <w:rPr>
          <w:rFonts w:ascii="Bookman Old Style" w:hAnsi="Bookman Old Style" w:cstheme="minorHAnsi"/>
          <w:b/>
          <w:sz w:val="24"/>
          <w:szCs w:val="24"/>
        </w:rPr>
      </w:pPr>
    </w:p>
    <w:p w:rsidR="00107411" w:rsidRDefault="00107411" w:rsidP="00107411">
      <w:pPr>
        <w:spacing w:line="240" w:lineRule="auto"/>
        <w:rPr>
          <w:rFonts w:ascii="Bookman Old Style" w:hAnsi="Bookman Old Style" w:cstheme="minorHAnsi"/>
          <w:b/>
          <w:sz w:val="24"/>
          <w:szCs w:val="24"/>
        </w:rPr>
      </w:pPr>
    </w:p>
    <w:p w:rsidR="00107411" w:rsidRDefault="00107411" w:rsidP="00107411">
      <w:pPr>
        <w:spacing w:line="240" w:lineRule="auto"/>
        <w:rPr>
          <w:rFonts w:ascii="Bookman Old Style" w:hAnsi="Bookman Old Style" w:cstheme="minorHAnsi"/>
          <w:b/>
          <w:sz w:val="24"/>
          <w:szCs w:val="24"/>
        </w:rPr>
      </w:pPr>
    </w:p>
    <w:p w:rsidR="00107411" w:rsidRPr="00163309" w:rsidRDefault="00107411" w:rsidP="00107411">
      <w:pPr>
        <w:spacing w:line="240" w:lineRule="auto"/>
        <w:jc w:val="center"/>
        <w:rPr>
          <w:rFonts w:ascii="Bookman Old Style" w:hAnsi="Bookman Old Style" w:cstheme="minorHAnsi"/>
          <w:b/>
          <w:sz w:val="28"/>
          <w:szCs w:val="28"/>
        </w:rPr>
      </w:pPr>
      <w:r>
        <w:rPr>
          <w:rFonts w:ascii="Bookman Old Style" w:hAnsi="Bookman Old Style" w:cstheme="minorHAnsi"/>
          <w:b/>
          <w:sz w:val="28"/>
          <w:szCs w:val="28"/>
        </w:rPr>
        <w:t>Factsheet for IT Operation and Service D</w:t>
      </w:r>
      <w:r w:rsidRPr="00163309">
        <w:rPr>
          <w:rFonts w:ascii="Bookman Old Style" w:hAnsi="Bookman Old Style" w:cstheme="minorHAnsi"/>
          <w:b/>
          <w:sz w:val="28"/>
          <w:szCs w:val="28"/>
        </w:rPr>
        <w:t xml:space="preserve">elivery Audit </w:t>
      </w:r>
      <w:r>
        <w:rPr>
          <w:rFonts w:ascii="Bookman Old Style" w:hAnsi="Bookman Old Style" w:cstheme="minorHAnsi"/>
          <w:b/>
          <w:sz w:val="28"/>
          <w:szCs w:val="28"/>
        </w:rPr>
        <w:t>Digital Banking T</w:t>
      </w:r>
      <w:r w:rsidRPr="00163309">
        <w:rPr>
          <w:rFonts w:ascii="Bookman Old Style" w:hAnsi="Bookman Old Style" w:cstheme="minorHAnsi"/>
          <w:b/>
          <w:sz w:val="28"/>
          <w:szCs w:val="28"/>
        </w:rPr>
        <w:t xml:space="preserve">echnologies Department </w:t>
      </w:r>
      <w:r>
        <w:rPr>
          <w:rFonts w:ascii="Bookman Old Style" w:hAnsi="Bookman Old Style" w:cstheme="minorHAnsi"/>
          <w:b/>
          <w:sz w:val="28"/>
          <w:szCs w:val="28"/>
        </w:rPr>
        <w:t>R</w:t>
      </w:r>
      <w:r w:rsidRPr="00163309">
        <w:rPr>
          <w:rFonts w:ascii="Bookman Old Style" w:hAnsi="Bookman Old Style" w:cstheme="minorHAnsi"/>
          <w:b/>
          <w:sz w:val="28"/>
          <w:szCs w:val="28"/>
        </w:rPr>
        <w:t>esponse</w:t>
      </w:r>
    </w:p>
    <w:p w:rsidR="00107411" w:rsidRDefault="00107411" w:rsidP="00107411">
      <w:pPr>
        <w:spacing w:line="240" w:lineRule="auto"/>
        <w:rPr>
          <w:rFonts w:ascii="Bookman Old Style" w:hAnsi="Bookman Old Style" w:cstheme="minorHAnsi"/>
          <w:sz w:val="24"/>
          <w:szCs w:val="24"/>
        </w:rPr>
      </w:pPr>
    </w:p>
    <w:tbl>
      <w:tblPr>
        <w:tblStyle w:val="GridTable5Dark-Accent3111"/>
        <w:tblpPr w:leftFromText="187" w:rightFromText="187" w:vertAnchor="text" w:horzAnchor="margin" w:tblpXSpec="center" w:tblpY="772"/>
        <w:tblOverlap w:val="never"/>
        <w:tblW w:w="145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5"/>
        <w:gridCol w:w="4765"/>
        <w:gridCol w:w="4590"/>
        <w:gridCol w:w="2520"/>
        <w:gridCol w:w="1980"/>
      </w:tblGrid>
      <w:tr w:rsidR="00107411" w:rsidTr="007C120F">
        <w:trPr>
          <w:cnfStyle w:val="100000000000" w:firstRow="1" w:lastRow="0" w:firstColumn="0" w:lastColumn="0" w:oddVBand="0" w:evenVBand="0" w:oddHBand="0" w:evenHBand="0" w:firstRowFirstColumn="0" w:firstRowLastColumn="0" w:lastRowFirstColumn="0" w:lastRowLastColumn="0"/>
          <w:trHeight w:val="980"/>
          <w:tblHeader/>
        </w:trPr>
        <w:tc>
          <w:tcPr>
            <w:cnfStyle w:val="001000000000" w:firstRow="0" w:lastRow="0" w:firstColumn="1" w:lastColumn="0" w:oddVBand="0" w:evenVBand="0" w:oddHBand="0" w:evenHBand="0" w:firstRowFirstColumn="0" w:firstRowLastColumn="0" w:lastRowFirstColumn="0" w:lastRowLastColumn="0"/>
            <w:tcW w:w="725" w:type="dxa"/>
            <w:tcBorders>
              <w:top w:val="single" w:sz="4" w:space="0" w:color="auto"/>
              <w:left w:val="single" w:sz="4" w:space="0" w:color="auto"/>
            </w:tcBorders>
            <w:shd w:val="clear" w:color="auto" w:fill="BFBFBF" w:themeFill="background1" w:themeFillShade="BF"/>
          </w:tcPr>
          <w:p w:rsidR="00107411" w:rsidRDefault="00107411" w:rsidP="007C120F">
            <w:pPr>
              <w:spacing w:line="240" w:lineRule="auto"/>
              <w:rPr>
                <w:rFonts w:ascii="Bookman Old Style" w:eastAsia="Calibri" w:hAnsi="Bookman Old Style"/>
                <w:b w:val="0"/>
                <w:kern w:val="0"/>
                <w:sz w:val="24"/>
                <w:szCs w:val="24"/>
                <w14:ligatures w14:val="none"/>
              </w:rPr>
            </w:pPr>
            <w:r>
              <w:rPr>
                <w:rFonts w:ascii="Bookman Old Style" w:eastAsia="Calibri" w:hAnsi="Bookman Old Style"/>
                <w:bCs w:val="0"/>
                <w:color w:val="auto"/>
                <w:kern w:val="0"/>
                <w:sz w:val="24"/>
                <w:szCs w:val="24"/>
                <w14:ligatures w14:val="none"/>
              </w:rPr>
              <w:t xml:space="preserve">  s/n  </w:t>
            </w:r>
          </w:p>
        </w:tc>
        <w:tc>
          <w:tcPr>
            <w:tcW w:w="4765" w:type="dxa"/>
            <w:tcBorders>
              <w:top w:val="single" w:sz="4" w:space="0" w:color="auto"/>
              <w:left w:val="single" w:sz="4" w:space="0" w:color="auto"/>
            </w:tcBorders>
            <w:shd w:val="clear" w:color="auto" w:fill="BFBFBF" w:themeFill="background1" w:themeFillShade="BF"/>
          </w:tcPr>
          <w:p w:rsidR="00107411" w:rsidRDefault="00107411" w:rsidP="007C120F">
            <w:pPr>
              <w:spacing w:line="240" w:lineRule="auto"/>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bCs w:val="0"/>
                <w:kern w:val="0"/>
                <w:sz w:val="24"/>
                <w:szCs w:val="24"/>
                <w14:ligatures w14:val="none"/>
              </w:rPr>
            </w:pPr>
            <w:r>
              <w:rPr>
                <w:rFonts w:ascii="Bookman Old Style" w:eastAsia="Calibri" w:hAnsi="Bookman Old Style"/>
                <w:bCs w:val="0"/>
                <w:color w:val="auto"/>
                <w:kern w:val="0"/>
                <w:sz w:val="24"/>
                <w:szCs w:val="24"/>
                <w14:ligatures w14:val="none"/>
              </w:rPr>
              <w:t>Condition and Criteria</w:t>
            </w:r>
          </w:p>
        </w:tc>
        <w:tc>
          <w:tcPr>
            <w:tcW w:w="4590" w:type="dxa"/>
            <w:tcBorders>
              <w:top w:val="single" w:sz="4" w:space="0" w:color="auto"/>
              <w:left w:val="single" w:sz="4" w:space="0" w:color="auto"/>
            </w:tcBorders>
            <w:shd w:val="clear" w:color="auto" w:fill="BFBFBF" w:themeFill="background1" w:themeFillShade="BF"/>
          </w:tcPr>
          <w:p w:rsidR="00107411" w:rsidRDefault="00107411" w:rsidP="007C120F">
            <w:pPr>
              <w:spacing w:line="240" w:lineRule="auto"/>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b w:val="0"/>
                <w:kern w:val="0"/>
                <w:sz w:val="24"/>
                <w:szCs w:val="24"/>
                <w14:ligatures w14:val="none"/>
              </w:rPr>
            </w:pPr>
            <w:r>
              <w:rPr>
                <w:rFonts w:ascii="Bookman Old Style" w:eastAsia="Calibri" w:hAnsi="Bookman Old Style"/>
                <w:bCs w:val="0"/>
                <w:color w:val="auto"/>
                <w:kern w:val="0"/>
                <w:sz w:val="24"/>
                <w:szCs w:val="24"/>
                <w14:ligatures w14:val="none"/>
              </w:rPr>
              <w:t>Possible Cause, Effect and Recommendations</w:t>
            </w:r>
          </w:p>
        </w:tc>
        <w:tc>
          <w:tcPr>
            <w:tcW w:w="2520" w:type="dxa"/>
            <w:tcBorders>
              <w:top w:val="single" w:sz="4" w:space="0" w:color="auto"/>
              <w:left w:val="single" w:sz="4" w:space="0" w:color="auto"/>
            </w:tcBorders>
            <w:shd w:val="clear" w:color="auto" w:fill="BFBFBF" w:themeFill="background1" w:themeFillShade="BF"/>
          </w:tcPr>
          <w:p w:rsidR="00107411" w:rsidRDefault="00107411" w:rsidP="007C120F">
            <w:pPr>
              <w:spacing w:line="240" w:lineRule="auto"/>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b w:val="0"/>
                <w:kern w:val="0"/>
                <w:sz w:val="24"/>
                <w:szCs w:val="24"/>
                <w14:ligatures w14:val="none"/>
              </w:rPr>
            </w:pPr>
            <w:r>
              <w:rPr>
                <w:rFonts w:ascii="Bookman Old Style" w:eastAsia="Calibri" w:hAnsi="Bookman Old Style"/>
                <w:bCs w:val="0"/>
                <w:color w:val="auto"/>
                <w:kern w:val="0"/>
                <w:sz w:val="24"/>
                <w:szCs w:val="24"/>
                <w14:ligatures w14:val="none"/>
              </w:rPr>
              <w:t>Auditee’s Response</w:t>
            </w:r>
          </w:p>
        </w:tc>
        <w:tc>
          <w:tcPr>
            <w:tcW w:w="1980" w:type="dxa"/>
            <w:tcBorders>
              <w:top w:val="single" w:sz="4" w:space="0" w:color="auto"/>
              <w:left w:val="single" w:sz="4" w:space="0" w:color="auto"/>
              <w:right w:val="single" w:sz="4" w:space="0" w:color="auto"/>
            </w:tcBorders>
            <w:shd w:val="clear" w:color="auto" w:fill="BFBFBF" w:themeFill="background1" w:themeFillShade="BF"/>
          </w:tcPr>
          <w:p w:rsidR="00107411" w:rsidRDefault="00107411" w:rsidP="007C120F">
            <w:pPr>
              <w:spacing w:line="240" w:lineRule="auto"/>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b w:val="0"/>
                <w:kern w:val="0"/>
                <w:sz w:val="24"/>
                <w:szCs w:val="24"/>
                <w14:ligatures w14:val="none"/>
              </w:rPr>
            </w:pPr>
            <w:r>
              <w:rPr>
                <w:rFonts w:ascii="Bookman Old Style" w:eastAsia="Calibri" w:hAnsi="Bookman Old Style"/>
                <w:bCs w:val="0"/>
                <w:color w:val="auto"/>
                <w:kern w:val="0"/>
                <w:sz w:val="24"/>
                <w:szCs w:val="24"/>
                <w14:ligatures w14:val="none"/>
              </w:rPr>
              <w:t xml:space="preserve">Target Date / dependency </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There is no documented role matrix for users on delivery channels back office.</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Enat Bank SC  Information security procedure 2025 page 26 at 4.7.2 Separation  of duties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EFFECT</w:t>
            </w:r>
          </w:p>
          <w:p w:rsidR="00107411" w:rsidRDefault="00107411" w:rsidP="00107411">
            <w:pPr>
              <w:pStyle w:val="ListParagraph"/>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hAnsi="Bookman Old Style"/>
                <w:sz w:val="24"/>
                <w:szCs w:val="24"/>
              </w:rPr>
              <w:t>There will be Risk of unauthorized access, role overlap, and unclear accountability.</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hAnsi="Bookman Old Style"/>
                <w:sz w:val="24"/>
                <w:szCs w:val="24"/>
              </w:rPr>
              <w:t xml:space="preserve">Role matrix should be designed and documented for digital banking platforms, clearly assigning </w:t>
            </w:r>
            <w:r>
              <w:rPr>
                <w:rFonts w:ascii="Bookman Old Style" w:hAnsi="Bookman Old Style"/>
                <w:sz w:val="24"/>
                <w:szCs w:val="24"/>
              </w:rPr>
              <w:lastRenderedPageBreak/>
              <w:t>responsibilities and segregation of duties.</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We acknowledge the observation. Department will prepare </w:t>
            </w:r>
            <w:bookmarkStart w:id="0" w:name="_GoBack"/>
            <w:bookmarkEnd w:id="0"/>
            <w:r w:rsidRPr="00107411">
              <w:rPr>
                <w:rFonts w:ascii="Bookman Old Style" w:eastAsia="Calibri" w:hAnsi="Bookman Old Style"/>
                <w:bCs/>
                <w:kern w:val="0"/>
                <w:sz w:val="24"/>
                <w:szCs w:val="24"/>
                <w14:ligatures w14:val="none"/>
              </w:rPr>
              <w:t>formal role matrix</w:t>
            </w:r>
            <w:r>
              <w:rPr>
                <w:rFonts w:ascii="Bookman Old Style" w:eastAsia="Calibri" w:hAnsi="Bookman Old Style"/>
                <w:bCs/>
                <w:kern w:val="0"/>
                <w:sz w:val="24"/>
                <w:szCs w:val="24"/>
                <w14:ligatures w14:val="none"/>
              </w:rPr>
              <w:t xml:space="preserve"> document</w:t>
            </w:r>
            <w:r w:rsidRPr="00107411">
              <w:rPr>
                <w:rFonts w:ascii="Bookman Old Style" w:eastAsia="Calibri" w:hAnsi="Bookman Old Style"/>
                <w:bCs/>
                <w:kern w:val="0"/>
                <w:sz w:val="24"/>
                <w:szCs w:val="24"/>
                <w14:ligatures w14:val="none"/>
              </w:rPr>
              <w:t>.</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1/1/2026</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color w:val="000000" w:themeColor="text1"/>
                <w:kern w:val="0"/>
                <w:sz w:val="24"/>
                <w:szCs w:val="24"/>
                <w14:ligatures w14:val="none"/>
              </w:rPr>
            </w:pPr>
            <w:r>
              <w:rPr>
                <w:rFonts w:ascii="Bookman Old Style" w:eastAsia="Calibri" w:hAnsi="Bookman Old Style"/>
                <w:b/>
                <w:bCs/>
                <w:color w:val="000000" w:themeColor="text1"/>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color w:val="000000" w:themeColor="text1"/>
                <w:kern w:val="0"/>
                <w:sz w:val="24"/>
                <w:szCs w:val="24"/>
                <w14:ligatures w14:val="none"/>
              </w:rPr>
            </w:pPr>
            <w:r>
              <w:rPr>
                <w:rFonts w:ascii="Bookman Old Style" w:hAnsi="Bookman Old Style"/>
                <w:color w:val="000000" w:themeColor="text1"/>
                <w:sz w:val="24"/>
                <w:szCs w:val="24"/>
              </w:rPr>
              <w:t>There is no developed, documented, or signed OLA (Operational level agreement) specifying service priorities, responsibilities, and timelines with Branch Operations and Digital Banking Operation.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i/>
                <w:color w:val="000000" w:themeColor="text1"/>
                <w:kern w:val="0"/>
                <w:sz w:val="24"/>
                <w:szCs w:val="24"/>
                <w14:ligatures w14:val="none"/>
              </w:rPr>
            </w:pPr>
            <w:r>
              <w:rPr>
                <w:rFonts w:ascii="Bookman Old Style" w:eastAsia="Calibri" w:hAnsi="Bookman Old Style"/>
                <w:b/>
                <w:bCs/>
                <w:i/>
                <w:color w:val="000000" w:themeColor="text1"/>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i/>
                <w:color w:val="000000" w:themeColor="text1"/>
                <w:kern w:val="0"/>
                <w:sz w:val="24"/>
                <w:szCs w:val="24"/>
                <w14:ligatures w14:val="none"/>
              </w:rPr>
            </w:pPr>
            <w:r>
              <w:rPr>
                <w:rFonts w:ascii="Bookman Old Style" w:eastAsia="Calibri" w:hAnsi="Bookman Old Style"/>
                <w:bCs/>
                <w:i/>
                <w:color w:val="000000" w:themeColor="text1"/>
              </w:rPr>
              <w:t>Enat Bank SC  Digital Banking Service Policy 2024 page 6 at 8.4.2 Digital Banking Department</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color w:val="000000" w:themeColor="text1"/>
                <w:kern w:val="0"/>
                <w:sz w:val="24"/>
                <w:szCs w:val="24"/>
                <w14:ligatures w14:val="none"/>
              </w:rPr>
            </w:pP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color w:val="000000" w:themeColor="text1"/>
                <w:kern w:val="0"/>
                <w:sz w:val="24"/>
                <w:szCs w:val="24"/>
                <w14:ligatures w14:val="none"/>
              </w:rPr>
            </w:pPr>
            <w:r>
              <w:rPr>
                <w:rFonts w:ascii="Bookman Old Style" w:eastAsia="Calibri" w:hAnsi="Bookman Old Style"/>
                <w:b/>
                <w:color w:val="000000" w:themeColor="text1"/>
                <w:kern w:val="0"/>
                <w:sz w:val="24"/>
                <w:szCs w:val="24"/>
                <w14:ligatures w14:val="none"/>
              </w:rPr>
              <w:t>EFFECT</w:t>
            </w:r>
          </w:p>
          <w:p w:rsidR="00107411" w:rsidRDefault="00107411" w:rsidP="00107411">
            <w:pPr>
              <w:pStyle w:val="ListParagraph"/>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color w:val="000000" w:themeColor="text1"/>
                <w:sz w:val="24"/>
                <w:szCs w:val="24"/>
              </w:rPr>
            </w:pPr>
            <w:r>
              <w:rPr>
                <w:rFonts w:ascii="Bookman Old Style" w:hAnsi="Bookman Old Style"/>
                <w:color w:val="000000" w:themeColor="text1"/>
                <w:sz w:val="24"/>
                <w:szCs w:val="24"/>
              </w:rPr>
              <w:t>Ambiguity in service expectations, inconsistent handling of branch issues and digital banking operation.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color w:val="000000" w:themeColor="text1"/>
                <w:kern w:val="0"/>
                <w:sz w:val="24"/>
                <w:szCs w:val="24"/>
                <w14:ligatures w14:val="none"/>
              </w:rPr>
            </w:pPr>
            <w:r>
              <w:rPr>
                <w:rFonts w:ascii="Bookman Old Style" w:eastAsia="Calibri" w:hAnsi="Bookman Old Style"/>
                <w:b/>
                <w:color w:val="000000" w:themeColor="text1"/>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color w:val="000000" w:themeColor="text1"/>
                <w:kern w:val="0"/>
                <w:sz w:val="24"/>
                <w:szCs w:val="24"/>
                <w14:ligatures w14:val="none"/>
              </w:rPr>
            </w:pPr>
            <w:r>
              <w:rPr>
                <w:rFonts w:ascii="Bookman Old Style" w:hAnsi="Bookman Old Style"/>
                <w:color w:val="000000" w:themeColor="text1"/>
                <w:sz w:val="24"/>
                <w:szCs w:val="24"/>
              </w:rPr>
              <w:t>Develop, approve, and implement OLAs between branch operations and digital banking Technologies.</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We acknowledge the observation. We will develop, document, and obtain approval for the OLA to clearly define service priorities, responsibilities, and timelines</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r>
              <w:rPr>
                <w:rFonts w:ascii="Bookman Old Style" w:eastAsia="Calibri" w:hAnsi="Bookman Old Style"/>
                <w:kern w:val="0"/>
                <w:sz w:val="24"/>
                <w:szCs w:val="24"/>
                <w:lang w:val="en-GB"/>
                <w14:ligatures w14:val="none"/>
              </w:rPr>
              <w:t>7/1/2026</w:t>
            </w:r>
          </w:p>
        </w:tc>
      </w:tr>
      <w:tr w:rsidR="00107411" w:rsidTr="007C120F">
        <w:trPr>
          <w:trHeight w:val="890"/>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hAnsi="Bookman Old Style"/>
                <w:sz w:val="24"/>
                <w:szCs w:val="24"/>
              </w:rPr>
              <w:t>The digital banking platform,</w:t>
            </w:r>
            <w:r>
              <w:rPr>
                <w:rFonts w:ascii="Bookman Old Style" w:eastAsia="Calibri" w:hAnsi="Bookman Old Style"/>
                <w:kern w:val="0"/>
                <w:sz w:val="24"/>
                <w:szCs w:val="24"/>
                <w14:ligatures w14:val="none"/>
              </w:rPr>
              <w:t xml:space="preserve"> Application system backups are not being taken to external</w:t>
            </w:r>
            <w:r>
              <w:rPr>
                <w:rFonts w:ascii="Bookman Old Style" w:hAnsi="Bookman Old Style"/>
                <w:color w:val="FF0000"/>
                <w:sz w:val="24"/>
                <w:szCs w:val="24"/>
              </w:rPr>
              <w:t xml:space="preserve"> </w:t>
            </w:r>
            <w:r>
              <w:rPr>
                <w:rFonts w:ascii="Bookman Old Style" w:hAnsi="Bookman Old Style"/>
                <w:sz w:val="24"/>
                <w:szCs w:val="24"/>
              </w:rPr>
              <w:t xml:space="preserve">or tape </w:t>
            </w:r>
            <w:r>
              <w:rPr>
                <w:rStyle w:val="Strong"/>
                <w:rFonts w:ascii="Bookman Old Style" w:hAnsi="Bookman Old Style"/>
                <w:sz w:val="24"/>
                <w:szCs w:val="24"/>
              </w:rPr>
              <w:t>backups stored at an off-site and onsite location with External Hard disk.</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lastRenderedPageBreak/>
              <w:t>Enat Bank SC  Information security procedure 2025 page 18-19 at 4.6.4 Backup and Recovery</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107411">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Risk of data loss or unavailability in case of hardware failure, fire, or other site disasters.</w:t>
            </w:r>
          </w:p>
          <w:p w:rsidR="00107411" w:rsidRDefault="00107411" w:rsidP="00107411">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Inability to restore services quickly following an incident.</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ind w:left="90"/>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eastAsia="Times New Roman" w:hAnsi="Bookman Old Style"/>
                <w:sz w:val="24"/>
                <w:szCs w:val="24"/>
              </w:rPr>
              <w:lastRenderedPageBreak/>
              <w:t>Implement a regular backup schedule for the digital banking platform, including both onsite and offsite storage.</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The issue will coordinating with the Atlas team and the Infrastructure team to back up on the tape.</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r>
              <w:rPr>
                <w:rFonts w:ascii="Bookman Old Style" w:eastAsia="Calibri" w:hAnsi="Bookman Old Style"/>
                <w:kern w:val="0"/>
                <w:sz w:val="24"/>
                <w:szCs w:val="24"/>
                <w:lang w:val="en-GB"/>
                <w14:ligatures w14:val="none"/>
              </w:rPr>
              <w:t>15/1/2026</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User access to digital banking systems is not reviewed on a quarterly basis as required by IS Security policy.</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Enat Bank SC  Information security procedure 2025 page 25 at 4.7.1 Account Management</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EFFECT</w:t>
            </w:r>
          </w:p>
          <w:p w:rsidR="00107411" w:rsidRDefault="00107411" w:rsidP="00107411">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Increased risk of unauthorized access.</w:t>
            </w:r>
          </w:p>
          <w:p w:rsidR="00107411" w:rsidRDefault="00107411" w:rsidP="00107411">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Potential Segregation of Duties (SoD) violations.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sidRPr="00BB3D8C">
              <w:rPr>
                <w:rFonts w:ascii="Bookman Old Style" w:eastAsia="Calibri" w:hAnsi="Bookman Old Style"/>
                <w:sz w:val="24"/>
                <w:szCs w:val="24"/>
              </w:rPr>
              <w:t xml:space="preserve">Implement quarterly user access reviews for digital banking platforms </w:t>
            </w:r>
            <w:r w:rsidRPr="00BB3D8C">
              <w:rPr>
                <w:rFonts w:ascii="Bookman Old Style" w:eastAsia="Calibri" w:hAnsi="Bookman Old Style"/>
                <w:sz w:val="24"/>
                <w:szCs w:val="24"/>
                <w:lang w:val="en-GB"/>
              </w:rPr>
              <w:t>(Clarification)</w:t>
            </w:r>
            <w:r>
              <w:rPr>
                <w:rFonts w:ascii="Bookman Old Style" w:eastAsia="Calibri" w:hAnsi="Bookman Old Style"/>
                <w:sz w:val="24"/>
                <w:szCs w:val="24"/>
              </w:rPr>
              <w:t>and document the review process, findings, and corrective actions.</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We acknowledge the observation. A User Access Review document for digital banking systems will be prepared</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r>
              <w:rPr>
                <w:rFonts w:ascii="Bookman Old Style" w:eastAsia="Calibri" w:hAnsi="Bookman Old Style"/>
                <w:kern w:val="0"/>
                <w:sz w:val="24"/>
                <w:szCs w:val="24"/>
                <w:lang w:val="en-GB"/>
                <w14:ligatures w14:val="none"/>
              </w:rPr>
              <w:t>21/2/2026</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sidRPr="00BB3D8C">
              <w:rPr>
                <w:rFonts w:ascii="Bookman Old Style" w:eastAsia="Calibri" w:hAnsi="Bookman Old Style"/>
                <w:bCs/>
                <w:kern w:val="0"/>
                <w:sz w:val="24"/>
                <w:szCs w:val="24"/>
                <w14:ligatures w14:val="none"/>
              </w:rPr>
              <w:t>During the audit engagement, we observed gaps related to digital banking support including :</w:t>
            </w:r>
          </w:p>
          <w:p w:rsidR="00107411" w:rsidRPr="00BB3D8C" w:rsidRDefault="00107411" w:rsidP="00107411">
            <w:pPr>
              <w:pStyle w:val="ListParagraph"/>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sz w:val="24"/>
                <w:szCs w:val="24"/>
              </w:rPr>
            </w:pPr>
            <w:r w:rsidRPr="00BB3D8C">
              <w:rPr>
                <w:rFonts w:ascii="Bookman Old Style" w:eastAsia="Calibri" w:hAnsi="Bookman Old Style"/>
                <w:bCs/>
                <w:sz w:val="24"/>
                <w:szCs w:val="24"/>
              </w:rPr>
              <w:t xml:space="preserve">No call log management, call-based case management, or resolution procedure exists for </w:t>
            </w:r>
            <w:r w:rsidRPr="00BB3D8C">
              <w:rPr>
                <w:rFonts w:ascii="Bookman Old Style" w:eastAsia="Calibri" w:hAnsi="Bookman Old Style"/>
                <w:bCs/>
                <w:sz w:val="24"/>
                <w:szCs w:val="24"/>
              </w:rPr>
              <w:lastRenderedPageBreak/>
              <w:t>digital banking operations via the contact center.</w:t>
            </w:r>
          </w:p>
          <w:p w:rsidR="00107411" w:rsidRPr="00BB3D8C" w:rsidRDefault="00107411" w:rsidP="00107411">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sz w:val="24"/>
                <w:szCs w:val="24"/>
              </w:rPr>
            </w:pPr>
            <w:r w:rsidRPr="00BB3D8C">
              <w:rPr>
                <w:rFonts w:ascii="Bookman Old Style" w:eastAsia="Calibri" w:hAnsi="Bookman Old Style"/>
                <w:bCs/>
                <w:sz w:val="24"/>
                <w:szCs w:val="24"/>
              </w:rPr>
              <w:t>There is no centralized contact center to manage digital banking support requests.</w:t>
            </w:r>
          </w:p>
          <w:p w:rsidR="00107411" w:rsidRPr="00BB3D8C" w:rsidRDefault="00107411" w:rsidP="00107411">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sz w:val="24"/>
                <w:szCs w:val="24"/>
              </w:rPr>
            </w:pPr>
            <w:r w:rsidRPr="00BB3D8C">
              <w:rPr>
                <w:rFonts w:ascii="Bookman Old Style" w:eastAsia="Calibri" w:hAnsi="Bookman Old Style"/>
                <w:bCs/>
                <w:sz w:val="24"/>
                <w:szCs w:val="24"/>
              </w:rPr>
              <w:t>Complaint handling logbook and call log records for hotline 9845 (digital payment support) are not maintained.</w:t>
            </w:r>
          </w:p>
          <w:p w:rsidR="00107411" w:rsidRDefault="00107411" w:rsidP="007C120F">
            <w:pPr>
              <w:spacing w:line="24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sz w:val="24"/>
                <w:szCs w:val="24"/>
              </w:rPr>
            </w:pP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i/>
                <w:kern w:val="0"/>
                <w:sz w:val="24"/>
                <w:szCs w:val="24"/>
                <w14:ligatures w14:val="none"/>
              </w:rPr>
            </w:pPr>
            <w:r>
              <w:rPr>
                <w:rFonts w:ascii="Bookman Old Style" w:eastAsia="Calibri" w:hAnsi="Bookman Old Style"/>
                <w:b/>
                <w:bCs/>
                <w:i/>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hAnsi="Bookman Old Style"/>
                <w:i/>
                <w:sz w:val="24"/>
                <w:szCs w:val="24"/>
              </w:rPr>
              <w:t>NBE Directive ONPS/02/2020 (Articles 18 &amp; 19).</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hAnsi="Bookman Old Style"/>
                <w:i/>
                <w:sz w:val="24"/>
                <w:szCs w:val="24"/>
              </w:rPr>
              <w:t>NBE Directive ONPS/09/2023 (Articles 12.2. i )</w:t>
            </w:r>
          </w:p>
        </w:tc>
        <w:tc>
          <w:tcPr>
            <w:tcW w:w="4590" w:type="dxa"/>
          </w:tcPr>
          <w:p w:rsidR="00107411" w:rsidRDefault="00107411" w:rsidP="007C120F">
            <w:pPr>
              <w:tabs>
                <w:tab w:val="left" w:pos="157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r>
              <w:rPr>
                <w:rFonts w:ascii="Bookman Old Style" w:eastAsia="Calibri" w:hAnsi="Bookman Old Style"/>
                <w:b/>
                <w:kern w:val="0"/>
                <w:sz w:val="24"/>
                <w:szCs w:val="24"/>
                <w14:ligatures w14:val="none"/>
              </w:rPr>
              <w:tab/>
            </w:r>
          </w:p>
          <w:p w:rsidR="00107411" w:rsidRDefault="00107411" w:rsidP="007C120F">
            <w:pPr>
              <w:tabs>
                <w:tab w:val="left" w:pos="157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hAnsi="Bookman Old Style"/>
                <w:sz w:val="24"/>
                <w:szCs w:val="24"/>
              </w:rPr>
              <w:t>Risk of unresolved issues, poor customer experience, and lack of accountability in digital banking operations.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hAnsi="Bookman Old Style"/>
                <w:sz w:val="24"/>
                <w:szCs w:val="24"/>
              </w:rPr>
              <w:lastRenderedPageBreak/>
              <w:t xml:space="preserve">Establish a centralized contact center for digital banking with call log management and </w:t>
            </w:r>
            <w:r>
              <w:rPr>
                <w:rFonts w:ascii="Bookman Old Style" w:eastAsia="Calibri" w:hAnsi="Bookman Old Style"/>
                <w:bCs/>
                <w:sz w:val="24"/>
                <w:szCs w:val="24"/>
              </w:rPr>
              <w:t xml:space="preserve"> call-based case management, or resolution procedure</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The Bank is in the process of establishing a Call Center, which will be managed the      </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Call Center team.</w:t>
            </w:r>
            <w:r w:rsidRPr="00107411">
              <w:rPr>
                <w:rFonts w:ascii="Bookman Old Style" w:eastAsia="Calibri" w:hAnsi="Bookman Old Style"/>
                <w:bCs/>
                <w:kern w:val="0"/>
                <w:sz w:val="24"/>
                <w:szCs w:val="24"/>
                <w14:ligatures w14:val="none"/>
              </w:rPr>
              <w:t xml:space="preserve"> This will solve the issue and the </w:t>
            </w:r>
            <w:r w:rsidRPr="00107411">
              <w:rPr>
                <w:rFonts w:ascii="Bookman Old Style" w:eastAsia="Calibri" w:hAnsi="Bookman Old Style"/>
                <w:bCs/>
                <w:kern w:val="0"/>
                <w:sz w:val="24"/>
                <w:szCs w:val="24"/>
                <w14:ligatures w14:val="none"/>
              </w:rPr>
              <w:lastRenderedPageBreak/>
              <w:t>support log issue will be handle.</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Pr="00BB3D8C"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sidRPr="00BB3D8C">
              <w:rPr>
                <w:rFonts w:ascii="Bookman Old Style" w:eastAsia="Calibri" w:hAnsi="Bookman Old Style"/>
                <w:b/>
                <w:bCs/>
                <w:kern w:val="0"/>
                <w:sz w:val="24"/>
                <w:szCs w:val="24"/>
                <w14:ligatures w14:val="none"/>
              </w:rPr>
              <w:t xml:space="preserve">CONDITION </w:t>
            </w:r>
          </w:p>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BB3D8C">
              <w:rPr>
                <w:rFonts w:ascii="Bookman Old Style" w:eastAsia="Calibri" w:hAnsi="Bookman Old Style"/>
                <w:bCs/>
                <w:kern w:val="0"/>
                <w:sz w:val="24"/>
                <w:szCs w:val="24"/>
                <w14:ligatures w14:val="none"/>
              </w:rPr>
              <w:t xml:space="preserve">The Digital platform Support, availability Uptime of digital platform, performance of digital banking support activities were not incorporated and  doesn’t   included in key performance indicators (KPIs) </w:t>
            </w:r>
            <w:r w:rsidRPr="00BB3D8C">
              <w:rPr>
                <w:rFonts w:ascii="Bookman Old Style" w:eastAsia="Calibri" w:hAnsi="Bookman Old Style"/>
                <w:bCs/>
                <w:kern w:val="0"/>
                <w:sz w:val="24"/>
                <w:szCs w:val="24"/>
                <w14:ligatures w14:val="none"/>
              </w:rPr>
              <w:lastRenderedPageBreak/>
              <w:t>which shared as annual corporate Plan to Strategic and innovation department.</w:t>
            </w:r>
          </w:p>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sidRPr="00BB3D8C">
              <w:rPr>
                <w:rFonts w:ascii="Bookman Old Style" w:eastAsia="Calibri" w:hAnsi="Bookman Old Style"/>
                <w:b/>
                <w:bCs/>
                <w:kern w:val="0"/>
                <w:sz w:val="24"/>
                <w:szCs w:val="24"/>
                <w14:ligatures w14:val="none"/>
              </w:rPr>
              <w:t>CRITERIA</w:t>
            </w:r>
          </w:p>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kern w:val="0"/>
                <w:sz w:val="24"/>
                <w:szCs w:val="24"/>
                <w14:ligatures w14:val="none"/>
              </w:rPr>
            </w:pPr>
            <w:r w:rsidRPr="00BB3D8C">
              <w:rPr>
                <w:rFonts w:ascii="Bookman Old Style" w:eastAsia="Calibri" w:hAnsi="Bookman Old Style"/>
                <w:bCs/>
                <w:i/>
                <w:kern w:val="0"/>
                <w:sz w:val="24"/>
                <w:szCs w:val="24"/>
                <w14:ligatures w14:val="none"/>
              </w:rPr>
              <w:t xml:space="preserve">NBE Directive SBB/083/2022 Page 2 Article 4.3 – I- VI. </w:t>
            </w:r>
          </w:p>
          <w:p w:rsidR="00107411" w:rsidRPr="00BB3D8C"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107411">
            <w:pPr>
              <w:pStyle w:val="ListParagraph"/>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Lack of measurable metrics reduces accountability and prevents performance improvement.</w:t>
            </w:r>
          </w:p>
          <w:p w:rsidR="00107411" w:rsidRDefault="00107411" w:rsidP="00107411">
            <w:pPr>
              <w:pStyle w:val="ListParagraph"/>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 xml:space="preserve">Management cannot make data-driven decisions on resource </w:t>
            </w:r>
            <w:r>
              <w:rPr>
                <w:rFonts w:ascii="Bookman Old Style" w:eastAsia="Calibri" w:hAnsi="Bookman Old Style"/>
                <w:sz w:val="24"/>
                <w:szCs w:val="24"/>
              </w:rPr>
              <w:lastRenderedPageBreak/>
              <w:t>allocation or process improvements.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kern w:val="0"/>
                <w:sz w:val="24"/>
                <w:szCs w:val="24"/>
                <w14:ligatures w14:val="none"/>
              </w:rPr>
              <w:t>Include</w:t>
            </w:r>
            <w:r>
              <w:rPr>
                <w:rFonts w:ascii="Bookman Old Style" w:hAnsi="Bookman Old Style"/>
                <w:sz w:val="24"/>
                <w:szCs w:val="24"/>
              </w:rPr>
              <w:t xml:space="preserve"> digital banking support metrics (e.g., response time and resolution time) in </w:t>
            </w:r>
            <w:r>
              <w:rPr>
                <w:rStyle w:val="Strong"/>
                <w:rFonts w:ascii="Bookman Old Style" w:hAnsi="Bookman Old Style"/>
                <w:sz w:val="24"/>
                <w:szCs w:val="24"/>
              </w:rPr>
              <w:t>KPI dashboards</w:t>
            </w:r>
            <w:r>
              <w:rPr>
                <w:rFonts w:ascii="Bookman Old Style" w:hAnsi="Bookman Old Style"/>
                <w:b/>
                <w:sz w:val="24"/>
                <w:szCs w:val="24"/>
              </w:rPr>
              <w:t>.</w:t>
            </w:r>
          </w:p>
          <w:p w:rsidR="00107411" w:rsidRDefault="00107411" w:rsidP="007C120F">
            <w:pPr>
              <w:pStyle w:val="NormalWeb"/>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rPr>
            </w:pP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 xml:space="preserve">The digital banking support metrics, including platform availability, uptime, and performance of support activities, are already incorporated in the </w:t>
            </w:r>
            <w:r w:rsidRPr="00107411">
              <w:rPr>
                <w:rFonts w:ascii="Bookman Old Style" w:eastAsia="Calibri" w:hAnsi="Bookman Old Style"/>
                <w:bCs/>
                <w:kern w:val="0"/>
                <w:sz w:val="24"/>
                <w:szCs w:val="24"/>
                <w14:ligatures w14:val="none"/>
              </w:rPr>
              <w:lastRenderedPageBreak/>
              <w:t>Key Performance Indicators (KPIs) shared as part of the annual Corporate Plan with the Strategic and Innovation Department. Please refer to Appendix 9</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Critical data such as EJ files and surveillance camera footage is not backed up on onsite or offsite storage.</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Enat Bank SC  Information security procedure 2025 page 18-19 at 4.6.4 Backup and Recovery</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p>
        </w:tc>
        <w:tc>
          <w:tcPr>
            <w:tcW w:w="4590" w:type="dxa"/>
          </w:tcPr>
          <w:p w:rsidR="00107411" w:rsidRDefault="00107411" w:rsidP="007C120F">
            <w:pPr>
              <w:tabs>
                <w:tab w:val="left" w:pos="91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EFFECT</w:t>
            </w:r>
          </w:p>
          <w:p w:rsidR="00107411" w:rsidRDefault="00107411" w:rsidP="00107411">
            <w:pPr>
              <w:pStyle w:val="ListParagraph"/>
              <w:numPr>
                <w:ilvl w:val="0"/>
                <w:numId w:val="22"/>
              </w:numPr>
              <w:tabs>
                <w:tab w:val="left" w:pos="91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 xml:space="preserve">High risk of </w:t>
            </w:r>
            <w:r>
              <w:rPr>
                <w:rFonts w:ascii="Bookman Old Style" w:eastAsia="Calibri" w:hAnsi="Bookman Old Style"/>
                <w:bCs/>
                <w:sz w:val="24"/>
                <w:szCs w:val="24"/>
              </w:rPr>
              <w:t>data loss</w:t>
            </w:r>
            <w:r>
              <w:rPr>
                <w:rFonts w:ascii="Bookman Old Style" w:eastAsia="Calibri" w:hAnsi="Bookman Old Style"/>
                <w:sz w:val="24"/>
                <w:szCs w:val="24"/>
              </w:rPr>
              <w:t>, operational disruption, and inability to investigate incidents.</w:t>
            </w:r>
          </w:p>
          <w:p w:rsidR="00107411" w:rsidRDefault="00107411" w:rsidP="007C120F">
            <w:pPr>
              <w:tabs>
                <w:tab w:val="left" w:pos="91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eastAsia="Calibri" w:hAnsi="Bookman Old Style"/>
                <w:b/>
                <w:sz w:val="24"/>
                <w:szCs w:val="24"/>
              </w:rPr>
              <w:t>RECOMMENDATION</w:t>
            </w:r>
          </w:p>
          <w:p w:rsidR="00107411" w:rsidRDefault="00107411" w:rsidP="007C120F">
            <w:pPr>
              <w:tabs>
                <w:tab w:val="left" w:pos="915"/>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Implement regular backups for EJ files and camera footage, store them both onsite and offsite, and periodically test backup restoration.</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The EJ backup is properly maintained; however, we have noted that some camera data has not yet been backed up, and we will correct this. The ATM and backup server are located in different sites, ensuring that the backup is stored off-site</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r>
              <w:rPr>
                <w:rFonts w:ascii="Bookman Old Style" w:eastAsia="Calibri" w:hAnsi="Bookman Old Style"/>
                <w:kern w:val="0"/>
                <w:sz w:val="24"/>
                <w:szCs w:val="24"/>
                <w:lang w:val="en-GB"/>
                <w14:ligatures w14:val="none"/>
              </w:rPr>
              <w:t>7/2/2026</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 xml:space="preserve">Successful USSD top-up transactions do not include full information, such </w:t>
            </w:r>
            <w:r>
              <w:rPr>
                <w:rFonts w:ascii="Bookman Old Style" w:eastAsia="Calibri" w:hAnsi="Bookman Old Style"/>
                <w:bCs/>
                <w:kern w:val="0"/>
                <w:sz w:val="24"/>
                <w:szCs w:val="24"/>
                <w14:ligatures w14:val="none"/>
              </w:rPr>
              <w:lastRenderedPageBreak/>
              <w:t>as amount, sender and receiver names.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Please see appendix 5</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hAnsi="Bookman Old Style"/>
                <w:i/>
                <w:sz w:val="24"/>
                <w:szCs w:val="24"/>
              </w:rPr>
              <w:t>NBE Directive ONPS/02/2020 (Articles 18)</w:t>
            </w:r>
          </w:p>
        </w:tc>
        <w:tc>
          <w:tcPr>
            <w:tcW w:w="4590" w:type="dxa"/>
          </w:tcPr>
          <w:p w:rsidR="00107411" w:rsidRDefault="00107411" w:rsidP="007C120F">
            <w:pPr>
              <w:tabs>
                <w:tab w:val="left" w:pos="1500"/>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r>
              <w:rPr>
                <w:rFonts w:ascii="Bookman Old Style" w:eastAsia="Calibri" w:hAnsi="Bookman Old Style"/>
                <w:b/>
                <w:kern w:val="0"/>
                <w:sz w:val="24"/>
                <w:szCs w:val="24"/>
                <w14:ligatures w14:val="none"/>
              </w:rPr>
              <w:tab/>
            </w:r>
          </w:p>
          <w:p w:rsidR="00107411" w:rsidRDefault="00107411" w:rsidP="00107411">
            <w:pPr>
              <w:pStyle w:val="ListParagraph"/>
              <w:numPr>
                <w:ilvl w:val="0"/>
                <w:numId w:val="23"/>
              </w:numPr>
              <w:tabs>
                <w:tab w:val="left" w:pos="1500"/>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Customers cannot fully verify transaction details, increasing dispute risk.</w:t>
            </w:r>
          </w:p>
          <w:p w:rsidR="00107411" w:rsidRDefault="00107411" w:rsidP="00107411">
            <w:pPr>
              <w:pStyle w:val="ListParagraph"/>
              <w:numPr>
                <w:ilvl w:val="0"/>
                <w:numId w:val="23"/>
              </w:numPr>
              <w:tabs>
                <w:tab w:val="left" w:pos="1500"/>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lastRenderedPageBreak/>
              <w:t>Reduced trust in digital payment systems.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Update the USSD platform to include complete transaction details (sender, receiver, and amount).</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USSD transactions confirmation screen displays the </w:t>
            </w:r>
            <w:r w:rsidRPr="00107411">
              <w:rPr>
                <w:rFonts w:ascii="Bookman Old Style" w:eastAsia="Calibri" w:hAnsi="Bookman Old Style"/>
                <w:bCs/>
                <w:kern w:val="0"/>
                <w:sz w:val="24"/>
                <w:szCs w:val="24"/>
                <w14:ligatures w14:val="none"/>
              </w:rPr>
              <w:t>Sender</w:t>
            </w:r>
            <w:r w:rsidRPr="00107411">
              <w:rPr>
                <w:rFonts w:ascii="Bookman Old Style" w:eastAsia="Calibri" w:hAnsi="Bookman Old Style"/>
                <w:bCs/>
                <w:kern w:val="0"/>
                <w:sz w:val="24"/>
                <w:szCs w:val="24"/>
                <w14:ligatures w14:val="none"/>
              </w:rPr>
              <w:t xml:space="preserve"> Account, Receiver Name, </w:t>
            </w:r>
            <w:r w:rsidRPr="00107411">
              <w:rPr>
                <w:rFonts w:ascii="Bookman Old Style" w:eastAsia="Calibri" w:hAnsi="Bookman Old Style"/>
                <w:bCs/>
                <w:kern w:val="0"/>
                <w:sz w:val="24"/>
                <w:szCs w:val="24"/>
                <w14:ligatures w14:val="none"/>
              </w:rPr>
              <w:lastRenderedPageBreak/>
              <w:t>Receiver Account, Receiver Bank Name and Amount. Please see appendix 7</w:t>
            </w:r>
            <w:r w:rsidRPr="00107411">
              <w:rPr>
                <w:rFonts w:ascii="Bookman Old Style" w:eastAsia="Calibri" w:hAnsi="Bookman Old Style"/>
                <w:bCs/>
                <w:kern w:val="0"/>
                <w:sz w:val="24"/>
                <w:szCs w:val="24"/>
                <w14:ligatures w14:val="none"/>
              </w:rPr>
              <w:br/>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CONDITION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The payment receipt generated from the digital banking platform</w:t>
            </w:r>
          </w:p>
          <w:p w:rsidR="00107411" w:rsidRDefault="00107411" w:rsidP="00107411">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color w:val="FF0000"/>
                <w:sz w:val="24"/>
                <w:szCs w:val="24"/>
              </w:rPr>
            </w:pPr>
            <w:r>
              <w:rPr>
                <w:rFonts w:ascii="Bookman Old Style" w:eastAsia="Calibri" w:hAnsi="Bookman Old Style"/>
                <w:bCs/>
                <w:sz w:val="24"/>
                <w:szCs w:val="24"/>
              </w:rPr>
              <w:t xml:space="preserve">Does not include key transaction details such as the service charge amount to other bank and time stamp of transaction. </w:t>
            </w:r>
          </w:p>
          <w:p w:rsidR="00107411" w:rsidRDefault="00107411" w:rsidP="00107411">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color w:val="FF0000"/>
                <w:sz w:val="24"/>
                <w:szCs w:val="24"/>
              </w:rPr>
            </w:pPr>
            <w:r>
              <w:rPr>
                <w:rFonts w:ascii="Bookman Old Style" w:eastAsia="Calibri" w:hAnsi="Bookman Old Style"/>
                <w:bCs/>
                <w:sz w:val="24"/>
                <w:szCs w:val="24"/>
              </w:rPr>
              <w:t>On top of receipt address information the short code 9845 is not included.</w:t>
            </w:r>
          </w:p>
          <w:p w:rsidR="00107411" w:rsidRDefault="00107411" w:rsidP="00107411">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color w:val="FF0000"/>
                <w:sz w:val="24"/>
                <w:szCs w:val="24"/>
              </w:rPr>
            </w:pPr>
            <w:r>
              <w:rPr>
                <w:rFonts w:ascii="Bookman Old Style" w:eastAsia="Calibri" w:hAnsi="Bookman Old Style"/>
                <w:bCs/>
                <w:sz w:val="24"/>
                <w:szCs w:val="24"/>
              </w:rPr>
              <w:t>Lack of customer data protection like visibility of sender and receiver account.</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kern w:val="0"/>
                <w:sz w:val="24"/>
                <w:szCs w:val="24"/>
                <w14:ligatures w14:val="none"/>
              </w:rPr>
            </w:pPr>
            <w:r>
              <w:rPr>
                <w:rFonts w:ascii="Bookman Old Style" w:eastAsia="Calibri" w:hAnsi="Bookman Old Style"/>
                <w:bCs/>
                <w:i/>
                <w:kern w:val="0"/>
                <w:sz w:val="24"/>
                <w:szCs w:val="24"/>
                <w14:ligatures w14:val="none"/>
              </w:rPr>
              <w:t>Please see appendix 1</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lastRenderedPageBreak/>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i/>
                <w:sz w:val="24"/>
                <w:szCs w:val="24"/>
              </w:rPr>
            </w:pPr>
            <w:r>
              <w:rPr>
                <w:rFonts w:ascii="Bookman Old Style" w:hAnsi="Bookman Old Style"/>
                <w:i/>
                <w:sz w:val="24"/>
                <w:szCs w:val="24"/>
              </w:rPr>
              <w:t>NBE Directive ONPS/02/2020 (Articles 18)</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hAnsi="Bookman Old Style"/>
                <w:i/>
                <w:sz w:val="24"/>
                <w:szCs w:val="24"/>
              </w:rPr>
              <w:t>NBE Directive ONPS/09/2023 (Articles 12.2. a-j )</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107411">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Customers may not have full visibility of the total transaction cost.</w:t>
            </w:r>
          </w:p>
          <w:p w:rsidR="00107411" w:rsidRDefault="00107411" w:rsidP="00107411">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This can lead to customer disputes, lack of transparency, and non-compliance with NBE directives.</w:t>
            </w:r>
          </w:p>
          <w:p w:rsidR="00107411" w:rsidRDefault="00107411" w:rsidP="00107411">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It reduces the reliability of receipts as official evidence for audit or reconciliation purposes.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eastAsia="Calibri" w:hAnsi="Bookman Old Style"/>
                <w:b/>
                <w:sz w:val="24"/>
                <w:szCs w:val="24"/>
              </w:rPr>
              <w:t xml:space="preserve">RECOMMENDATION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All digital and electronic receipts should display full transaction details including the service charge amount and time of execution.</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 xml:space="preserve">The digital banking transaction receipts already include VAT and service charges handled by Enat Bank  . please find </w:t>
            </w:r>
            <w:r w:rsidRPr="00107411">
              <w:rPr>
                <w:rFonts w:ascii="Bookman Old Style" w:eastAsia="Calibri" w:hAnsi="Bookman Old Style"/>
                <w:bCs/>
                <w:kern w:val="0"/>
                <w:sz w:val="24"/>
                <w:szCs w:val="24"/>
                <w14:ligatures w14:val="none"/>
              </w:rPr>
              <w:t>the attached file. Charges for other bank transactions are managed by EthSwitch. We will continue to review receipt formats to ensure compliance with NBE directives.</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Please see appendix 8</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There is no user manual and administrative manual for back office system and delivery channel.</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kern w:val="0"/>
                <w:sz w:val="24"/>
                <w:szCs w:val="24"/>
                <w14:ligatures w14:val="none"/>
              </w:rPr>
            </w:pPr>
            <w:r>
              <w:rPr>
                <w:rFonts w:ascii="Bookman Old Style" w:eastAsia="Calibri" w:hAnsi="Bookman Old Style"/>
                <w:bCs/>
                <w:i/>
              </w:rPr>
              <w:t>Enat Bank SC  Digital Banking Service Policy 2024 page 6 at 8.4.2 Digital Banking Department</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EFFECT</w:t>
            </w:r>
          </w:p>
          <w:p w:rsidR="00107411" w:rsidRDefault="00107411" w:rsidP="00107411">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Lack of manuals may lead to inconsistent system operation and inefficient issue handling.</w:t>
            </w:r>
          </w:p>
          <w:p w:rsidR="00107411" w:rsidRDefault="00107411" w:rsidP="00107411">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New or replacement staff may experience delays in understanding system processes.</w:t>
            </w:r>
          </w:p>
          <w:p w:rsidR="00107411" w:rsidRDefault="00107411" w:rsidP="00107411">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Increases the risk of operational errors or unauthorized activities due to unclear procedures.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Develop and maintain User Manuals and Administrative Manuals for delivery channel back office</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We acknowledge the observation. A user manual for branch operations has already been prepared and is available for sharing as needed.</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olor w:val="FF0000"/>
                <w:sz w:val="24"/>
              </w:rPr>
            </w:pPr>
            <w:r>
              <w:rPr>
                <w:rFonts w:ascii="Bookman Old Style" w:hAnsi="Bookman Old Style"/>
                <w:sz w:val="24"/>
              </w:rPr>
              <w:lastRenderedPageBreak/>
              <w:t xml:space="preserve">The Electronic Journal (EJ) file is not configured to reflect all actual birr note denominations. Specifically, the 200 birr note is excluded from the combination matrix and also there were inconsistency of birr note denomination throughout the bank ATM EJ File configuration. And Customer Account information were not hidden or not Protect, it was visible on EJ file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i/>
                <w:sz w:val="24"/>
                <w:szCs w:val="24"/>
              </w:rPr>
            </w:pPr>
            <w:r>
              <w:rPr>
                <w:rFonts w:ascii="Bookman Old Style" w:hAnsi="Bookman Old Style"/>
                <w:i/>
                <w:sz w:val="24"/>
                <w:szCs w:val="24"/>
              </w:rPr>
              <w:t>Please see appendix 4</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rPr>
            </w:pPr>
            <w:r>
              <w:rPr>
                <w:rFonts w:ascii="Bookman Old Style" w:eastAsia="Calibri" w:hAnsi="Bookman Old Style"/>
                <w:bCs/>
                <w:i/>
              </w:rPr>
              <w:t xml:space="preserve">Enat Bank SC Domestic Card Banking Procedure Manual 2024 page 21 at 4.3. E. ATM Cash loading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p>
          <w:p w:rsidR="00107411" w:rsidRDefault="00107411" w:rsidP="007C120F">
            <w:pPr>
              <w:spacing w:line="24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107411">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lastRenderedPageBreak/>
              <w:t>Inaccurate cash reconciliation between ATMs and back-end reports.</w:t>
            </w:r>
          </w:p>
          <w:p w:rsidR="00107411" w:rsidRDefault="00107411" w:rsidP="00107411">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Increased risk of undetected cash mismatches and reporting errors.</w:t>
            </w:r>
          </w:p>
          <w:p w:rsidR="00107411" w:rsidRDefault="00107411" w:rsidP="00107411">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Potential customer disputes during withdrawal transactions.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Update the EJ file configuration to include all active birr denominations (including the 200 birr note) and validate the change through test transactions and reconciliation reports.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The EJ denomination </w:t>
            </w:r>
            <w:r w:rsidRPr="00107411">
              <w:rPr>
                <w:rFonts w:ascii="Bookman Old Style" w:eastAsia="Calibri" w:hAnsi="Bookman Old Style"/>
                <w:bCs/>
                <w:kern w:val="0"/>
                <w:sz w:val="24"/>
                <w:szCs w:val="24"/>
                <w14:ligatures w14:val="none"/>
              </w:rPr>
              <w:lastRenderedPageBreak/>
              <w:t>configuration issue has been corrected</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Regarding the visibility of customer account information in the EJ file, communication has been initiated with the Switch and CBS teams to address the issue and implement the necessary system adjustments to ensure account information is properly masked and protected in accordance with the Bank’s information security standards.</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r>
              <w:rPr>
                <w:rFonts w:ascii="Bookman Old Style" w:eastAsia="Calibri" w:hAnsi="Bookman Old Style"/>
                <w:kern w:val="0"/>
                <w:sz w:val="24"/>
                <w:szCs w:val="24"/>
                <w:lang w:val="en-GB"/>
                <w14:ligatures w14:val="none"/>
              </w:rPr>
              <w:lastRenderedPageBreak/>
              <w:t>30/2/2026</w:t>
            </w: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 xml:space="preserve">CONDITION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 xml:space="preserve">In the digital banking back office system user at Digital banking operation department users, the </w:t>
            </w:r>
            <w:r>
              <w:rPr>
                <w:rFonts w:ascii="Bookman Old Style" w:eastAsia="Calibri" w:hAnsi="Bookman Old Style"/>
                <w:bCs/>
                <w:kern w:val="0"/>
                <w:sz w:val="24"/>
                <w:szCs w:val="24"/>
                <w14:ligatures w14:val="none"/>
              </w:rPr>
              <w:lastRenderedPageBreak/>
              <w:t>authorization tab allowed them to make amendments to customer data (e.g., phone and e-banking details) without enforcing a maker-checker control.</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Please see appendix 2</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 xml:space="preserve">Enat Bank SC  Information security procedure 2025 page 26 at 4.7.1 Account management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 xml:space="preserve">Enat Bank SC  Mobile Banking and Mobile Wallet Operational Procedure Manual 2024 page 7 at 2.4 change of mobile phone number </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107411">
            <w:pPr>
              <w:pStyle w:val="ListParagraph"/>
              <w:numPr>
                <w:ilvl w:val="0"/>
                <w:numId w:val="28"/>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Risk of unauthorized or erroneous changes to customer profiles.</w:t>
            </w:r>
          </w:p>
          <w:p w:rsidR="00107411" w:rsidRDefault="00107411" w:rsidP="00107411">
            <w:pPr>
              <w:pStyle w:val="ListParagraph"/>
              <w:numPr>
                <w:ilvl w:val="0"/>
                <w:numId w:val="29"/>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lastRenderedPageBreak/>
              <w:t>Non-compliance with segregation of duties principles.</w:t>
            </w:r>
          </w:p>
          <w:p w:rsidR="00107411" w:rsidRDefault="00107411" w:rsidP="00107411">
            <w:pPr>
              <w:pStyle w:val="ListParagraph"/>
              <w:numPr>
                <w:ilvl w:val="0"/>
                <w:numId w:val="29"/>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Potential financial and reputational risk due to fraud or data tampering.</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Implement a maker-checker workflow for all customer data amendments in the digital banking system, ensuring changes are independently verified before activation.</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The maker-checker workflow for customer data amendments is already implemented in the </w:t>
            </w:r>
            <w:r w:rsidRPr="00107411">
              <w:rPr>
                <w:rFonts w:ascii="Bookman Old Style" w:eastAsia="Calibri" w:hAnsi="Bookman Old Style"/>
                <w:bCs/>
                <w:kern w:val="0"/>
                <w:sz w:val="24"/>
                <w:szCs w:val="24"/>
                <w14:ligatures w14:val="none"/>
              </w:rPr>
              <w:lastRenderedPageBreak/>
              <w:t>digital banking back office system. Additional clarification or evidence can be provided upon request.</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The Digital Banking Technology Department is performing unauthorized database administrative tasks such as executing DB backups and managing core databases, despite these duties not being part of their defined roles or approved access rights.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lastRenderedPageBreak/>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14:ligatures w14:val="none"/>
              </w:rPr>
            </w:pPr>
            <w:r>
              <w:rPr>
                <w:rFonts w:ascii="Bookman Old Style" w:eastAsia="Calibri" w:hAnsi="Bookman Old Style"/>
                <w:bCs/>
                <w:i/>
                <w:sz w:val="24"/>
                <w:szCs w:val="24"/>
              </w:rPr>
              <w:t xml:space="preserve">Enat Bank SC  Digital banking office job discerptions </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lastRenderedPageBreak/>
              <w:t>EFFECT</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kern w:val="0"/>
                <w:sz w:val="24"/>
                <w:szCs w:val="24"/>
                <w14:ligatures w14:val="none"/>
              </w:rPr>
              <w:t>This Situation demonstrates a violation of segregation of duties and access control principle with against of their Job description assigned by the bank</w:t>
            </w:r>
            <w:r>
              <w:rPr>
                <w:rFonts w:ascii="Bookman Old Style" w:eastAsia="Calibri" w:hAnsi="Bookman Old Style"/>
                <w:b/>
                <w:kern w:val="0"/>
                <w:sz w:val="24"/>
                <w:szCs w:val="24"/>
                <w14:ligatures w14:val="none"/>
              </w:rPr>
              <w:t xml:space="preserve">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kern w:val="0"/>
                <w:sz w:val="24"/>
                <w:szCs w:val="24"/>
                <w14:ligatures w14:val="none"/>
              </w:rPr>
              <w:lastRenderedPageBreak/>
              <w:t xml:space="preserve">The department shall transfer all database management role, administrative credential task for the bank Database and MIS work unit. </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Digital Banking technologies department has no </w:t>
            </w:r>
            <w:r w:rsidRPr="00107411">
              <w:rPr>
                <w:rFonts w:ascii="Bookman Old Style" w:eastAsia="Calibri" w:hAnsi="Bookman Old Style"/>
                <w:bCs/>
                <w:kern w:val="0"/>
                <w:sz w:val="24"/>
                <w:szCs w:val="24"/>
                <w14:ligatures w14:val="none"/>
              </w:rPr>
              <w:t>core databases access.</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Monitoring/Taking DBS Database  backups should be Digital Banking Technologies  Department duties,</w:t>
            </w:r>
            <w:r w:rsidRPr="00107411">
              <w:rPr>
                <w:rFonts w:ascii="Bookman Old Style" w:eastAsia="Calibri" w:hAnsi="Bookman Old Style"/>
                <w:bCs/>
                <w:kern w:val="0"/>
                <w:sz w:val="24"/>
                <w:szCs w:val="24"/>
                <w14:ligatures w14:val="none"/>
              </w:rPr>
              <w:br/>
            </w:r>
            <w:r w:rsidRPr="00107411">
              <w:rPr>
                <w:rFonts w:ascii="Bookman Old Style" w:eastAsia="Calibri" w:hAnsi="Bookman Old Style"/>
                <w:bCs/>
                <w:kern w:val="0"/>
                <w:sz w:val="24"/>
                <w:szCs w:val="24"/>
                <w14:ligatures w14:val="none"/>
              </w:rPr>
              <w:lastRenderedPageBreak/>
              <w:t>please see the updated Job description.(Online system administration division)</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 xml:space="preserve">Privileged accounts (Administrator, root and Service Accounts) are being operated </w:t>
            </w:r>
            <w:r>
              <w:rPr>
                <w:rFonts w:ascii="Bookman Old Style" w:eastAsia="Calibri" w:hAnsi="Bookman Old Style"/>
                <w:kern w:val="0"/>
                <w:sz w:val="24"/>
                <w:szCs w:val="24"/>
                <w14:ligatures w14:val="none"/>
              </w:rPr>
              <w:t>without implementation of Left Security Operation (LSO) and Right Security Operation (RSO) controls</w:t>
            </w:r>
            <w:r>
              <w:rPr>
                <w:rFonts w:ascii="Bookman Old Style" w:eastAsia="Calibri" w:hAnsi="Bookman Old Style"/>
                <w:bCs/>
                <w:kern w:val="0"/>
                <w:sz w:val="24"/>
                <w:szCs w:val="24"/>
                <w14:ligatures w14:val="none"/>
              </w:rPr>
              <w:t>, leaving privileged activities without required oversight and segregation of duties.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 xml:space="preserve">Enat Bank SC  Information security procedure 2025 page 26 at 4.7.1 Account management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i/>
                <w:sz w:val="24"/>
                <w:szCs w:val="24"/>
              </w:rPr>
            </w:pPr>
            <w:r>
              <w:rPr>
                <w:rFonts w:ascii="Bookman Old Style" w:eastAsia="Calibri" w:hAnsi="Bookman Old Style"/>
                <w:bCs/>
                <w:i/>
                <w:sz w:val="24"/>
                <w:szCs w:val="24"/>
              </w:rPr>
              <w:t>Segregation of duties for privileged activities (NIST SP 800-53: AC-5, AC-6)</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 xml:space="preserve">EFFECT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r>
              <w:rPr>
                <w:rFonts w:ascii="Bookman Old Style" w:eastAsia="Calibri" w:hAnsi="Bookman Old Style"/>
                <w:kern w:val="0"/>
                <w:sz w:val="24"/>
                <w:szCs w:val="24"/>
                <w14:ligatures w14:val="none"/>
              </w:rPr>
              <w:t>These security weaknesses create the potential for:</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Unauthorized access to critical systems</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Privilege misuse and insider threats</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Inability to trace privileged actions during incidents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RECOMMENDATION</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 xml:space="preserve"> Formally implement </w:t>
            </w:r>
            <w:r>
              <w:rPr>
                <w:rFonts w:ascii="Bookman Old Style" w:eastAsia="Calibri" w:hAnsi="Bookman Old Style"/>
                <w:b/>
                <w:bCs/>
                <w:sz w:val="24"/>
                <w:szCs w:val="24"/>
              </w:rPr>
              <w:t>RSO and LSO</w:t>
            </w:r>
            <w:r>
              <w:rPr>
                <w:rFonts w:ascii="Bookman Old Style" w:eastAsia="Calibri" w:hAnsi="Bookman Old Style"/>
                <w:sz w:val="24"/>
                <w:szCs w:val="24"/>
              </w:rPr>
              <w:t xml:space="preserve"> controls for all root and service account operations with Collaborating ISD</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 xml:space="preserve">Ensure privileged credentials are stored in a </w:t>
            </w:r>
            <w:r>
              <w:rPr>
                <w:rFonts w:ascii="Bookman Old Style" w:eastAsia="Calibri" w:hAnsi="Bookman Old Style"/>
                <w:b/>
                <w:bCs/>
                <w:sz w:val="24"/>
                <w:szCs w:val="24"/>
              </w:rPr>
              <w:t>secured, sealed, controlled safe</w:t>
            </w:r>
            <w:r>
              <w:rPr>
                <w:rFonts w:ascii="Bookman Old Style" w:eastAsia="Calibri" w:hAnsi="Bookman Old Style"/>
                <w:sz w:val="24"/>
                <w:szCs w:val="24"/>
              </w:rPr>
              <w:t xml:space="preserve">, with </w:t>
            </w:r>
            <w:r>
              <w:rPr>
                <w:rFonts w:ascii="Bookman Old Style" w:eastAsia="Calibri" w:hAnsi="Bookman Old Style"/>
                <w:sz w:val="24"/>
                <w:szCs w:val="24"/>
              </w:rPr>
              <w:lastRenderedPageBreak/>
              <w:t>documented break-glass procedures</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Enforce dual-authorization for privileged command execution and emergency use</w:t>
            </w:r>
          </w:p>
          <w:p w:rsidR="00107411" w:rsidRDefault="00107411" w:rsidP="00107411">
            <w:pPr>
              <w:pStyle w:val="ListParagraph"/>
              <w:numPr>
                <w:ilvl w:val="0"/>
                <w:numId w:val="30"/>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Enable continuous monitoring and periodic review of privileged access activities</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We acknowledge the audit observation; however, we would like to clarify that key Left Security Operation (LSO) and Right Security Operation (RSO) controls are already implemented within our privileged BO user management  processes.</w:t>
            </w:r>
            <w:r w:rsidRPr="00107411">
              <w:rPr>
                <w:rFonts w:ascii="Bookman Old Style" w:eastAsia="Calibri" w:hAnsi="Bookman Old Style"/>
                <w:bCs/>
                <w:kern w:val="0"/>
                <w:sz w:val="24"/>
                <w:szCs w:val="24"/>
                <w14:ligatures w14:val="none"/>
              </w:rPr>
              <w:br/>
              <w:t>Specifically:</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t xml:space="preserve">Dual authorization (maker-checker) is enforced for critical privileged actions, including digital banking activations and user administrative </w:t>
            </w:r>
            <w:r w:rsidRPr="00107411">
              <w:rPr>
                <w:rFonts w:ascii="Bookman Old Style" w:eastAsia="Calibri" w:hAnsi="Bookman Old Style"/>
                <w:bCs/>
                <w:kern w:val="0"/>
                <w:sz w:val="24"/>
                <w:szCs w:val="24"/>
                <w14:ligatures w14:val="none"/>
              </w:rPr>
              <w:lastRenderedPageBreak/>
              <w:t>tasks. Approval workflows are in place.</w:t>
            </w: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14:ligatures w14:val="none"/>
              </w:rPr>
            </w:pPr>
          </w:p>
        </w:tc>
      </w:tr>
      <w:tr w:rsidR="00107411" w:rsidTr="007C120F">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rsidR="00107411" w:rsidRDefault="00107411" w:rsidP="00107411">
            <w:pPr>
              <w:pStyle w:val="ListParagraph"/>
              <w:numPr>
                <w:ilvl w:val="1"/>
                <w:numId w:val="17"/>
              </w:numPr>
              <w:spacing w:line="360" w:lineRule="auto"/>
              <w:rPr>
                <w:rFonts w:ascii="Bookman Old Style" w:hAnsi="Bookman Old Style"/>
                <w:b w:val="0"/>
                <w:bCs w:val="0"/>
                <w:sz w:val="24"/>
                <w:szCs w:val="24"/>
              </w:rPr>
            </w:pPr>
          </w:p>
        </w:tc>
        <w:tc>
          <w:tcPr>
            <w:tcW w:w="4765" w:type="dxa"/>
          </w:tcPr>
          <w:p w:rsidR="00107411" w:rsidRDefault="00107411" w:rsidP="007C120F">
            <w:pPr>
              <w:tabs>
                <w:tab w:val="center" w:pos="2274"/>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CONDITION</w:t>
            </w:r>
            <w:r>
              <w:rPr>
                <w:rFonts w:ascii="Bookman Old Style" w:eastAsia="Calibri" w:hAnsi="Bookman Old Style"/>
                <w:b/>
                <w:bCs/>
                <w:kern w:val="0"/>
                <w:sz w:val="24"/>
                <w:szCs w:val="24"/>
                <w14:ligatures w14:val="none"/>
              </w:rPr>
              <w:tab/>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t xml:space="preserve"> </w:t>
            </w:r>
            <w:r>
              <w:rPr>
                <w:rFonts w:ascii="Bookman Old Style" w:eastAsia="Calibri" w:hAnsi="Bookman Old Style"/>
                <w:bCs/>
                <w:kern w:val="0"/>
                <w:sz w:val="24"/>
                <w:szCs w:val="24"/>
                <w14:ligatures w14:val="none"/>
              </w:rPr>
              <w:t>In the Tele birr transaction report generated from the delivery channel back office, the transaction time is not included, which limits the accuracy and completeness of transaction details.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kern w:val="0"/>
                <w:sz w:val="24"/>
                <w:szCs w:val="24"/>
                <w14:ligatures w14:val="none"/>
              </w:rPr>
              <w:t>Please refer appendix 3</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bCs/>
                <w:kern w:val="0"/>
                <w:sz w:val="24"/>
                <w:szCs w:val="24"/>
                <w14:ligatures w14:val="none"/>
              </w:rPr>
            </w:pPr>
            <w:r>
              <w:rPr>
                <w:rFonts w:ascii="Bookman Old Style" w:eastAsia="Calibri" w:hAnsi="Bookman Old Style"/>
                <w:b/>
                <w:bCs/>
                <w:kern w:val="0"/>
                <w:sz w:val="24"/>
                <w:szCs w:val="24"/>
                <w14:ligatures w14:val="none"/>
              </w:rPr>
              <w:t>CRITERIA</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Pr>
                <w:rFonts w:ascii="Bookman Old Style" w:eastAsia="Calibri" w:hAnsi="Bookman Old Style"/>
                <w:bCs/>
                <w:i/>
                <w:kern w:val="0"/>
                <w:sz w:val="24"/>
                <w:szCs w:val="24"/>
                <w14:ligatures w14:val="none"/>
              </w:rPr>
              <w:t>Best practice</w:t>
            </w:r>
          </w:p>
        </w:tc>
        <w:tc>
          <w:tcPr>
            <w:tcW w:w="459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eastAsia="Calibri" w:hAnsi="Bookman Old Style"/>
                <w:b/>
                <w:kern w:val="0"/>
                <w:sz w:val="24"/>
                <w:szCs w:val="24"/>
                <w14:ligatures w14:val="none"/>
              </w:rPr>
              <w:t>EFFECT</w:t>
            </w:r>
          </w:p>
          <w:p w:rsidR="00107411" w:rsidRDefault="00107411" w:rsidP="00107411">
            <w:pPr>
              <w:pStyle w:val="ListParagraph"/>
              <w:numPr>
                <w:ilvl w:val="0"/>
                <w:numId w:val="31"/>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Incomplete transaction data reduces the accuracy of reconciliations and audit trails.</w:t>
            </w:r>
          </w:p>
          <w:p w:rsidR="00107411" w:rsidRDefault="00107411" w:rsidP="00107411">
            <w:pPr>
              <w:pStyle w:val="ListParagraph"/>
              <w:numPr>
                <w:ilvl w:val="0"/>
                <w:numId w:val="31"/>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Difficulty in resolving customer complaints and disputes due to missing transaction time.</w:t>
            </w:r>
          </w:p>
          <w:p w:rsidR="00107411" w:rsidRDefault="00107411" w:rsidP="00107411">
            <w:pPr>
              <w:pStyle w:val="ListParagraph"/>
              <w:numPr>
                <w:ilvl w:val="0"/>
                <w:numId w:val="31"/>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sz w:val="24"/>
                <w:szCs w:val="24"/>
              </w:rPr>
            </w:pPr>
            <w:r>
              <w:rPr>
                <w:rFonts w:ascii="Bookman Old Style" w:eastAsia="Calibri" w:hAnsi="Bookman Old Style"/>
                <w:sz w:val="24"/>
                <w:szCs w:val="24"/>
              </w:rPr>
              <w:t>Increased risk of operational and financial discrepancies.</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sz w:val="24"/>
                <w:szCs w:val="24"/>
              </w:rPr>
            </w:pPr>
            <w:r>
              <w:rPr>
                <w:rFonts w:ascii="Bookman Old Style" w:eastAsia="Calibri" w:hAnsi="Bookman Old Style"/>
                <w:b/>
                <w:sz w:val="24"/>
                <w:szCs w:val="24"/>
              </w:rPr>
              <w:t xml:space="preserve">RECOMMENDATION </w:t>
            </w:r>
          </w:p>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
                <w:kern w:val="0"/>
                <w:sz w:val="24"/>
                <w:szCs w:val="24"/>
                <w14:ligatures w14:val="none"/>
              </w:rPr>
            </w:pPr>
            <w:r>
              <w:rPr>
                <w:rFonts w:ascii="Bookman Old Style" w:hAnsi="Bookman Old Style"/>
                <w:sz w:val="24"/>
                <w:szCs w:val="24"/>
              </w:rPr>
              <w:t xml:space="preserve">The Tele birr transaction reporting should include the exact </w:t>
            </w:r>
            <w:r>
              <w:rPr>
                <w:rStyle w:val="Emphasis"/>
                <w:rFonts w:ascii="Bookman Old Style" w:hAnsi="Bookman Old Style"/>
                <w:sz w:val="24"/>
                <w:szCs w:val="24"/>
              </w:rPr>
              <w:t xml:space="preserve">transaction </w:t>
            </w:r>
            <w:r>
              <w:rPr>
                <w:rStyle w:val="Emphasis"/>
                <w:rFonts w:ascii="Bookman Old Style" w:hAnsi="Bookman Old Style"/>
                <w:sz w:val="24"/>
                <w:szCs w:val="24"/>
              </w:rPr>
              <w:lastRenderedPageBreak/>
              <w:t>time</w:t>
            </w:r>
            <w:r>
              <w:rPr>
                <w:rFonts w:ascii="Bookman Old Style" w:hAnsi="Bookman Old Style"/>
                <w:sz w:val="24"/>
                <w:szCs w:val="24"/>
              </w:rPr>
              <w:t xml:space="preserve"> for all records generated in the delivery channel back office. </w:t>
            </w:r>
          </w:p>
        </w:tc>
        <w:tc>
          <w:tcPr>
            <w:tcW w:w="2520" w:type="dxa"/>
          </w:tcPr>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r w:rsidRPr="00107411">
              <w:rPr>
                <w:rFonts w:ascii="Bookman Old Style" w:eastAsia="Calibri" w:hAnsi="Bookman Old Style"/>
                <w:bCs/>
                <w:kern w:val="0"/>
                <w:sz w:val="24"/>
                <w:szCs w:val="24"/>
                <w14:ligatures w14:val="none"/>
              </w:rPr>
              <w:lastRenderedPageBreak/>
              <w:t xml:space="preserve">The Back office report is generated based on date-range input given. Therefore, only the transaction date is displayed as requested. The system records full timestamps internally, and detailed time data can be retrieved when required. And To apply this kind of functional requirement, time fetching data, system resource </w:t>
            </w:r>
            <w:r w:rsidRPr="00107411">
              <w:rPr>
                <w:rFonts w:ascii="Bookman Old Style" w:eastAsia="Calibri" w:hAnsi="Bookman Old Style"/>
                <w:bCs/>
                <w:kern w:val="0"/>
                <w:sz w:val="24"/>
                <w:szCs w:val="24"/>
                <w14:ligatures w14:val="none"/>
              </w:rPr>
              <w:lastRenderedPageBreak/>
              <w:t>and performance related issues also be considered.</w:t>
            </w:r>
          </w:p>
          <w:p w:rsidR="00107411" w:rsidRPr="00107411" w:rsidRDefault="00107411" w:rsidP="00107411">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bCs/>
                <w:kern w:val="0"/>
                <w:sz w:val="24"/>
                <w:szCs w:val="24"/>
                <w14:ligatures w14:val="none"/>
              </w:rPr>
            </w:pPr>
          </w:p>
        </w:tc>
        <w:tc>
          <w:tcPr>
            <w:tcW w:w="1980" w:type="dxa"/>
          </w:tcPr>
          <w:p w:rsidR="00107411" w:rsidRDefault="00107411" w:rsidP="007C120F">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kern w:val="0"/>
                <w:sz w:val="24"/>
                <w:szCs w:val="24"/>
                <w:lang w:val="en-GB"/>
                <w14:ligatures w14:val="none"/>
              </w:rPr>
            </w:pPr>
          </w:p>
        </w:tc>
      </w:tr>
    </w:tbl>
    <w:p w:rsidR="00107411" w:rsidRDefault="00107411" w:rsidP="00107411">
      <w:pPr>
        <w:rPr>
          <w:rFonts w:ascii="Bookman Old Style" w:hAnsi="Bookman Old Style"/>
          <w:sz w:val="24"/>
          <w:szCs w:val="24"/>
          <w14:ligatures w14:val="none"/>
        </w:rPr>
      </w:pPr>
    </w:p>
    <w:p w:rsidR="00107411" w:rsidRDefault="00107411" w:rsidP="00107411">
      <w:pPr>
        <w:spacing w:before="100" w:beforeAutospacing="1" w:after="100" w:afterAutospacing="1" w:line="240" w:lineRule="auto"/>
        <w:rPr>
          <w:rFonts w:ascii="Bookman Old Style" w:eastAsia="Times New Roman" w:hAnsi="Bookman Old Style" w:cs="Times New Roman"/>
          <w:kern w:val="0"/>
          <w:sz w:val="24"/>
          <w:szCs w:val="24"/>
          <w14:ligatures w14:val="none"/>
        </w:rPr>
      </w:pPr>
      <w:r>
        <w:rPr>
          <w:rFonts w:ascii="Bookman Old Style" w:eastAsia="Times New Roman" w:hAnsi="Bookman Old Style" w:cs="Times New Roman"/>
          <w:noProof/>
          <w:kern w:val="0"/>
          <w:sz w:val="24"/>
          <w:szCs w:val="24"/>
          <w14:ligatures w14:val="none"/>
        </w:rPr>
        <w:lastRenderedPageBreak/>
        <w:drawing>
          <wp:inline distT="0" distB="0" distL="0" distR="0" wp14:anchorId="082ED045" wp14:editId="06F897C6">
            <wp:extent cx="7188200" cy="4956810"/>
            <wp:effectExtent l="0" t="0" r="0" b="0"/>
            <wp:docPr id="5" name="Picture 5" descr="E:\report for 2024\REPORTES\support\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report for 2024\REPORTES\support\Captur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215953" cy="4976036"/>
                    </a:xfrm>
                    <a:prstGeom prst="rect">
                      <a:avLst/>
                    </a:prstGeom>
                    <a:noFill/>
                    <a:ln>
                      <a:noFill/>
                    </a:ln>
                  </pic:spPr>
                </pic:pic>
              </a:graphicData>
            </a:graphic>
          </wp:inline>
        </w:drawing>
      </w:r>
    </w:p>
    <w:p w:rsidR="00107411" w:rsidRDefault="00107411" w:rsidP="00107411">
      <w:pPr>
        <w:rPr>
          <w:rFonts w:ascii="Bookman Old Style" w:hAnsi="Bookman Old Style"/>
          <w:sz w:val="24"/>
          <w:szCs w:val="24"/>
        </w:rPr>
      </w:pPr>
    </w:p>
    <w:p w:rsidR="00107411" w:rsidRDefault="00107411" w:rsidP="00107411">
      <w:pPr>
        <w:rPr>
          <w:rFonts w:ascii="Bookman Old Style" w:hAnsi="Bookman Old Style"/>
          <w:sz w:val="24"/>
          <w:szCs w:val="24"/>
          <w14:ligatures w14:val="none"/>
        </w:rPr>
      </w:pPr>
      <w:r>
        <w:rPr>
          <w:rFonts w:ascii="Bookman Old Style" w:hAnsi="Bookman Old Style"/>
          <w:sz w:val="24"/>
          <w:szCs w:val="24"/>
          <w14:ligatures w14:val="none"/>
        </w:rPr>
        <w:t>Appendix 1</w:t>
      </w:r>
    </w:p>
    <w:p w:rsidR="00107411" w:rsidRDefault="00107411" w:rsidP="00107411">
      <w:pPr>
        <w:rPr>
          <w:rFonts w:ascii="Bookman Old Style" w:hAnsi="Bookman Old Style"/>
          <w:sz w:val="24"/>
          <w:szCs w:val="24"/>
          <w14:ligatures w14:val="none"/>
        </w:rPr>
      </w:pPr>
    </w:p>
    <w:p w:rsidR="00107411" w:rsidRDefault="00107411" w:rsidP="00107411">
      <w:pPr>
        <w:rPr>
          <w:rFonts w:ascii="Bookman Old Style" w:hAnsi="Bookman Old Style"/>
          <w:sz w:val="24"/>
          <w:szCs w:val="24"/>
          <w14:ligatures w14:val="none"/>
        </w:rPr>
      </w:pPr>
    </w:p>
    <w:p w:rsidR="00107411" w:rsidRDefault="00107411" w:rsidP="00107411">
      <w:pPr>
        <w:rPr>
          <w:rFonts w:ascii="Bookman Old Style" w:hAnsi="Bookman Old Style"/>
          <w:color w:val="FF0000"/>
          <w:sz w:val="24"/>
          <w:szCs w:val="24"/>
        </w:rPr>
      </w:pPr>
    </w:p>
    <w:p w:rsidR="00107411" w:rsidRDefault="00107411" w:rsidP="00107411">
      <w:pPr>
        <w:rPr>
          <w:rFonts w:ascii="Bookman Old Style" w:hAnsi="Bookman Old Style"/>
          <w:color w:val="FF0000"/>
          <w:sz w:val="24"/>
          <w:szCs w:val="24"/>
        </w:rPr>
      </w:pPr>
      <w:r>
        <w:rPr>
          <w:rFonts w:ascii="Bookman Old Style" w:hAnsi="Bookman Old Style"/>
          <w:noProof/>
          <w:color w:val="FF0000"/>
          <w:sz w:val="24"/>
          <w:szCs w:val="24"/>
        </w:rPr>
        <w:drawing>
          <wp:inline distT="0" distB="0" distL="0" distR="0" wp14:anchorId="09E33CF5" wp14:editId="6DA6350E">
            <wp:extent cx="8198294" cy="3840931"/>
            <wp:effectExtent l="0" t="0" r="0" b="7620"/>
            <wp:docPr id="6" name="Picture 6" descr="C:\Users\Sworku\Downloads\IMG_20251021_120325_7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Sworku\Downloads\IMG_20251021_120325_76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13710" cy="3848153"/>
                    </a:xfrm>
                    <a:prstGeom prst="rect">
                      <a:avLst/>
                    </a:prstGeom>
                    <a:noFill/>
                    <a:ln>
                      <a:noFill/>
                    </a:ln>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2</w:t>
      </w:r>
    </w:p>
    <w:p w:rsidR="00107411" w:rsidRDefault="00107411" w:rsidP="00107411">
      <w:pPr>
        <w:rPr>
          <w:rFonts w:ascii="Bookman Old Style" w:hAnsi="Bookman Old Style"/>
          <w:sz w:val="24"/>
          <w:szCs w:val="24"/>
        </w:rPr>
      </w:pPr>
      <w:r>
        <w:rPr>
          <w:noProof/>
          <w14:ligatures w14:val="none"/>
        </w:rPr>
        <w:lastRenderedPageBreak/>
        <w:drawing>
          <wp:inline distT="0" distB="0" distL="0" distR="0" wp14:anchorId="1C4E40D1" wp14:editId="0119469B">
            <wp:extent cx="8229600" cy="4563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8229600" cy="4563745"/>
                    </a:xfrm>
                    <a:prstGeom prst="rect">
                      <a:avLst/>
                    </a:prstGeom>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3</w:t>
      </w:r>
    </w:p>
    <w:p w:rsidR="00107411" w:rsidRDefault="00107411" w:rsidP="00107411">
      <w:pPr>
        <w:rPr>
          <w:rFonts w:ascii="Bookman Old Style" w:hAnsi="Bookman Old Style"/>
          <w:sz w:val="24"/>
          <w:szCs w:val="24"/>
        </w:rPr>
      </w:pPr>
      <w:r>
        <w:rPr>
          <w:rFonts w:ascii="Bookman Old Style" w:hAnsi="Bookman Old Style"/>
          <w:sz w:val="24"/>
          <w:szCs w:val="24"/>
        </w:rPr>
        <w:lastRenderedPageBreak/>
        <w:t xml:space="preserve"> </w:t>
      </w:r>
      <w:r>
        <w:rPr>
          <w:noProof/>
        </w:rPr>
        <w:drawing>
          <wp:inline distT="0" distB="0" distL="0" distR="0" wp14:anchorId="41B65005" wp14:editId="0A28B400">
            <wp:extent cx="3862070" cy="5044440"/>
            <wp:effectExtent l="0" t="0" r="5080" b="3810"/>
            <wp:docPr id="4" name="Picture 4" descr="cid:image001.png@01DC42A2.322C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d:image001.png@01DC42A2.322CE35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a:xfrm>
                      <a:off x="0" y="0"/>
                      <a:ext cx="3891619" cy="5083564"/>
                    </a:xfrm>
                    <a:prstGeom prst="rect">
                      <a:avLst/>
                    </a:prstGeom>
                    <a:noFill/>
                    <a:ln>
                      <a:noFill/>
                    </a:ln>
                  </pic:spPr>
                </pic:pic>
              </a:graphicData>
            </a:graphic>
          </wp:inline>
        </w:drawing>
      </w:r>
      <w:r>
        <w:rPr>
          <w:rFonts w:ascii="Calibri" w:eastAsia="Times New Roman" w:hAnsi="Calibri" w:cs="Calibri"/>
          <w:noProof/>
          <w:color w:val="000000"/>
        </w:rPr>
        <w:drawing>
          <wp:inline distT="0" distB="0" distL="0" distR="0" wp14:anchorId="568E1D52" wp14:editId="2507AAE8">
            <wp:extent cx="4303395" cy="4981575"/>
            <wp:effectExtent l="0" t="0" r="1905" b="9525"/>
            <wp:docPr id="9" name="Picture 9" descr="cid:c51541ed-2a4a-40b6-b90d-f996f5ac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id:c51541ed-2a4a-40b6-b90d-f996f5ac8415"/>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a:xfrm>
                      <a:off x="0" y="0"/>
                      <a:ext cx="4393938" cy="5086722"/>
                    </a:xfrm>
                    <a:prstGeom prst="rect">
                      <a:avLst/>
                    </a:prstGeom>
                    <a:noFill/>
                    <a:ln>
                      <a:noFill/>
                    </a:ln>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4</w:t>
      </w:r>
    </w:p>
    <w:p w:rsidR="00107411" w:rsidRDefault="00107411" w:rsidP="00107411">
      <w:pPr>
        <w:rPr>
          <w:rFonts w:ascii="Bookman Old Style" w:hAnsi="Bookman Old Style"/>
          <w:sz w:val="24"/>
          <w:szCs w:val="24"/>
        </w:rPr>
      </w:pPr>
      <w:r>
        <w:rPr>
          <w:noProof/>
        </w:rPr>
        <w:lastRenderedPageBreak/>
        <w:drawing>
          <wp:inline distT="0" distB="0" distL="0" distR="0" wp14:anchorId="32345123" wp14:editId="1C1970CD">
            <wp:extent cx="3388360" cy="5202555"/>
            <wp:effectExtent l="0" t="0" r="2540" b="0"/>
            <wp:docPr id="3" name="Picture 3" descr="file:///C:/Users/Sworku/Downloads/Screenshot_20251028-162808_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le:///C:/Users/Sworku/Downloads/Screenshot_20251028-162808_Phon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09771" cy="5234861"/>
                    </a:xfrm>
                    <a:prstGeom prst="rect">
                      <a:avLst/>
                    </a:prstGeom>
                    <a:noFill/>
                    <a:ln>
                      <a:noFill/>
                    </a:ln>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5</w:t>
      </w:r>
    </w:p>
    <w:p w:rsidR="00107411" w:rsidRDefault="00107411" w:rsidP="00107411">
      <w:pPr>
        <w:rPr>
          <w:rFonts w:ascii="Bookman Old Style" w:hAnsi="Bookman Old Style"/>
          <w:sz w:val="24"/>
          <w:szCs w:val="24"/>
        </w:rPr>
      </w:pPr>
    </w:p>
    <w:p w:rsidR="00107411" w:rsidRDefault="00107411" w:rsidP="00107411">
      <w:pPr>
        <w:rPr>
          <w:rFonts w:ascii="Bookman Old Style" w:hAnsi="Bookman Old Style"/>
          <w:sz w:val="24"/>
          <w:szCs w:val="24"/>
        </w:rPr>
      </w:pPr>
      <w:r>
        <w:rPr>
          <w:noProof/>
          <w14:ligatures w14:val="none"/>
        </w:rPr>
        <w:lastRenderedPageBreak/>
        <w:drawing>
          <wp:inline distT="0" distB="0" distL="0" distR="0" wp14:anchorId="17092E15" wp14:editId="5639ABA7">
            <wp:extent cx="3013710" cy="573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3906" cy="5734422"/>
                    </a:xfrm>
                    <a:prstGeom prst="rect">
                      <a:avLst/>
                    </a:prstGeom>
                  </pic:spPr>
                </pic:pic>
              </a:graphicData>
            </a:graphic>
          </wp:inline>
        </w:drawing>
      </w:r>
      <w:r>
        <w:rPr>
          <w:rFonts w:ascii="Bookman Old Style" w:hAnsi="Bookman Old Style"/>
          <w:sz w:val="24"/>
          <w:szCs w:val="24"/>
        </w:rPr>
        <w:br/>
        <w:t>Appendix 7</w:t>
      </w:r>
    </w:p>
    <w:p w:rsidR="00107411" w:rsidRDefault="00107411" w:rsidP="00107411">
      <w:pPr>
        <w:rPr>
          <w:rFonts w:ascii="Bookman Old Style" w:hAnsi="Bookman Old Style"/>
          <w:sz w:val="24"/>
          <w:szCs w:val="24"/>
        </w:rPr>
      </w:pPr>
      <w:r w:rsidRPr="003B2D92">
        <w:rPr>
          <w:noProof/>
          <w:shd w:val="clear" w:color="auto" w:fill="FFFFFF" w:themeFill="background1"/>
        </w:rPr>
        <w:lastRenderedPageBreak/>
        <w:drawing>
          <wp:inline distT="0" distB="0" distL="0" distR="0" wp14:anchorId="7D7AFF34" wp14:editId="729D706A">
            <wp:extent cx="3429000" cy="4852218"/>
            <wp:effectExtent l="0" t="0" r="0" b="5715"/>
            <wp:docPr id="14" name="Picture 14" descr="C:\Users\afekede\Downloads\Receipt_430263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ekede\Downloads\Receipt_4302639_page-000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6024" cy="4890458"/>
                    </a:xfrm>
                    <a:prstGeom prst="rect">
                      <a:avLst/>
                    </a:prstGeom>
                    <a:noFill/>
                    <a:ln>
                      <a:noFill/>
                    </a:ln>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8</w:t>
      </w:r>
    </w:p>
    <w:p w:rsidR="00107411" w:rsidRDefault="00107411" w:rsidP="00107411">
      <w:pPr>
        <w:rPr>
          <w:rFonts w:ascii="Bookman Old Style" w:hAnsi="Bookman Old Style"/>
          <w:sz w:val="24"/>
          <w:szCs w:val="24"/>
        </w:rPr>
      </w:pPr>
      <w:r>
        <w:rPr>
          <w:noProof/>
          <w14:ligatures w14:val="none"/>
        </w:rPr>
        <w:lastRenderedPageBreak/>
        <w:drawing>
          <wp:inline distT="0" distB="0" distL="0" distR="0" wp14:anchorId="1CEE7C89" wp14:editId="042C4826">
            <wp:extent cx="3552825" cy="12573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8993" b="17266"/>
                    <a:stretch/>
                  </pic:blipFill>
                  <pic:spPr bwMode="auto">
                    <a:xfrm>
                      <a:off x="0" y="0"/>
                      <a:ext cx="3552825" cy="1257300"/>
                    </a:xfrm>
                    <a:prstGeom prst="rect">
                      <a:avLst/>
                    </a:prstGeom>
                    <a:ln>
                      <a:noFill/>
                    </a:ln>
                    <a:extLst>
                      <a:ext uri="{53640926-AAD7-44D8-BBD7-CCE9431645EC}">
                        <a14:shadowObscured xmlns:a14="http://schemas.microsoft.com/office/drawing/2010/main"/>
                      </a:ext>
                    </a:extLst>
                  </pic:spPr>
                </pic:pic>
              </a:graphicData>
            </a:graphic>
          </wp:inline>
        </w:drawing>
      </w:r>
    </w:p>
    <w:p w:rsidR="00107411" w:rsidRDefault="00107411" w:rsidP="00107411">
      <w:pPr>
        <w:rPr>
          <w:rFonts w:ascii="Bookman Old Style" w:hAnsi="Bookman Old Style"/>
          <w:sz w:val="24"/>
          <w:szCs w:val="24"/>
        </w:rPr>
      </w:pPr>
      <w:r>
        <w:rPr>
          <w:rFonts w:ascii="Bookman Old Style" w:hAnsi="Bookman Old Style"/>
          <w:sz w:val="24"/>
          <w:szCs w:val="24"/>
        </w:rPr>
        <w:t>Appendix 9</w:t>
      </w:r>
    </w:p>
    <w:p w:rsidR="00CE4580" w:rsidRPr="00107411" w:rsidRDefault="00107411" w:rsidP="00107411"/>
    <w:sectPr w:rsidR="00CE4580" w:rsidRPr="0010741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19D"/>
    <w:multiLevelType w:val="multilevel"/>
    <w:tmpl w:val="003F119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087B83"/>
    <w:multiLevelType w:val="multilevel"/>
    <w:tmpl w:val="03087B8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7113D51"/>
    <w:multiLevelType w:val="multilevel"/>
    <w:tmpl w:val="07113D5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0250391"/>
    <w:multiLevelType w:val="multilevel"/>
    <w:tmpl w:val="1025039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8E2029"/>
    <w:multiLevelType w:val="multilevel"/>
    <w:tmpl w:val="158E202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D045111"/>
    <w:multiLevelType w:val="multilevel"/>
    <w:tmpl w:val="1D04511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6077005"/>
    <w:multiLevelType w:val="multilevel"/>
    <w:tmpl w:val="3607700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8E15DF6"/>
    <w:multiLevelType w:val="multilevel"/>
    <w:tmpl w:val="38E15DF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C235745"/>
    <w:multiLevelType w:val="multilevel"/>
    <w:tmpl w:val="3C23574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E9978D4"/>
    <w:multiLevelType w:val="multilevel"/>
    <w:tmpl w:val="4E9978D4"/>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748388C"/>
    <w:multiLevelType w:val="multilevel"/>
    <w:tmpl w:val="5748388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B9170A4"/>
    <w:multiLevelType w:val="multilevel"/>
    <w:tmpl w:val="6B9170A4"/>
    <w:lvl w:ilvl="0">
      <w:start w:val="1"/>
      <w:numFmt w:val="decimal"/>
      <w:lvlText w:val="%1"/>
      <w:lvlJc w:val="left"/>
      <w:pPr>
        <w:ind w:left="360" w:hanging="360"/>
      </w:pPr>
    </w:lvl>
    <w:lvl w:ilvl="1">
      <w:start w:val="1"/>
      <w:numFmt w:val="decimal"/>
      <w:lvlText w:val="%2"/>
      <w:lvlJc w:val="left"/>
      <w:pPr>
        <w:ind w:left="630" w:hanging="360"/>
      </w:pPr>
      <w:rPr>
        <w:rFonts w:ascii="Times New Roman" w:eastAsia="Times New Roman" w:hAnsi="Times New Roman" w:cs="Times New Roman" w:hint="default"/>
        <w:b/>
        <w:bCs w:val="0"/>
        <w:i w:val="0"/>
        <w:iCs w:val="0"/>
        <w:color w:val="auto"/>
        <w:spacing w:val="0"/>
        <w:w w:val="100"/>
        <w:sz w:val="28"/>
        <w:szCs w:val="28"/>
        <w:lang w:val="en-US" w:eastAsia="en-US" w:bidi="ar-SA"/>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49B239D"/>
    <w:multiLevelType w:val="multilevel"/>
    <w:tmpl w:val="749B239D"/>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3" w15:restartNumberingAfterBreak="0">
    <w:nsid w:val="75674DCA"/>
    <w:multiLevelType w:val="multilevel"/>
    <w:tmpl w:val="75674D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910396B"/>
    <w:multiLevelType w:val="multilevel"/>
    <w:tmpl w:val="7910396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7D810B33"/>
    <w:multiLevelType w:val="hybridMultilevel"/>
    <w:tmpl w:val="9E0E1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lvlOverride w:ilvl="1"/>
    <w:lvlOverride w:ilvl="2"/>
    <w:lvlOverride w:ilvl="3"/>
    <w:lvlOverride w:ilvl="4"/>
    <w:lvlOverride w:ilvl="5"/>
    <w:lvlOverride w:ilvl="6"/>
    <w:lvlOverride w:ilvl="7"/>
    <w:lvlOverride w:ilvl="8"/>
  </w:num>
  <w:num w:numId="3">
    <w:abstractNumId w:val="5"/>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15"/>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8"/>
    <w:lvlOverride w:ilvl="0"/>
    <w:lvlOverride w:ilvl="1"/>
    <w:lvlOverride w:ilvl="2"/>
    <w:lvlOverride w:ilvl="3"/>
    <w:lvlOverride w:ilvl="4"/>
    <w:lvlOverride w:ilvl="5"/>
    <w:lvlOverride w:ilvl="6"/>
    <w:lvlOverride w:ilvl="7"/>
    <w:lvlOverride w:ilvl="8"/>
  </w:num>
  <w:num w:numId="8">
    <w:abstractNumId w:val="4"/>
    <w:lvlOverride w:ilvl="0"/>
    <w:lvlOverride w:ilvl="1"/>
    <w:lvlOverride w:ilvl="2"/>
    <w:lvlOverride w:ilvl="3"/>
    <w:lvlOverride w:ilvl="4"/>
    <w:lvlOverride w:ilvl="5"/>
    <w:lvlOverride w:ilvl="6"/>
    <w:lvlOverride w:ilvl="7"/>
    <w:lvlOverride w:ilvl="8"/>
  </w:num>
  <w:num w:numId="9">
    <w:abstractNumId w:val="9"/>
    <w:lvlOverride w:ilvl="0"/>
    <w:lvlOverride w:ilvl="1"/>
    <w:lvlOverride w:ilvl="2"/>
    <w:lvlOverride w:ilvl="3"/>
    <w:lvlOverride w:ilvl="4"/>
    <w:lvlOverride w:ilvl="5"/>
    <w:lvlOverride w:ilvl="6"/>
    <w:lvlOverride w:ilvl="7"/>
    <w:lvlOverride w:ilvl="8"/>
  </w:num>
  <w:num w:numId="10">
    <w:abstractNumId w:val="7"/>
    <w:lvlOverride w:ilvl="0"/>
    <w:lvlOverride w:ilvl="1"/>
    <w:lvlOverride w:ilvl="2"/>
    <w:lvlOverride w:ilvl="3"/>
    <w:lvlOverride w:ilvl="4"/>
    <w:lvlOverride w:ilvl="5"/>
    <w:lvlOverride w:ilvl="6"/>
    <w:lvlOverride w:ilvl="7"/>
    <w:lvlOverride w:ilvl="8"/>
  </w:num>
  <w:num w:numId="11">
    <w:abstractNumId w:val="6"/>
    <w:lvlOverride w:ilvl="0"/>
    <w:lvlOverride w:ilvl="1"/>
    <w:lvlOverride w:ilvl="2"/>
    <w:lvlOverride w:ilvl="3"/>
    <w:lvlOverride w:ilvl="4"/>
    <w:lvlOverride w:ilvl="5"/>
    <w:lvlOverride w:ilvl="6"/>
    <w:lvlOverride w:ilvl="7"/>
    <w:lvlOverride w:ilvl="8"/>
  </w:num>
  <w:num w:numId="12">
    <w:abstractNumId w:val="10"/>
    <w:lvlOverride w:ilvl="0"/>
    <w:lvlOverride w:ilvl="1"/>
    <w:lvlOverride w:ilvl="2"/>
    <w:lvlOverride w:ilvl="3"/>
    <w:lvlOverride w:ilvl="4"/>
    <w:lvlOverride w:ilvl="5"/>
    <w:lvlOverride w:ilvl="6"/>
    <w:lvlOverride w:ilvl="7"/>
    <w:lvlOverride w:ilvl="8"/>
  </w:num>
  <w:num w:numId="13">
    <w:abstractNumId w:val="1"/>
    <w:lvlOverride w:ilvl="0"/>
    <w:lvlOverride w:ilvl="1"/>
    <w:lvlOverride w:ilvl="2"/>
    <w:lvlOverride w:ilvl="3"/>
    <w:lvlOverride w:ilvl="4"/>
    <w:lvlOverride w:ilvl="5"/>
    <w:lvlOverride w:ilvl="6"/>
    <w:lvlOverride w:ilvl="7"/>
    <w:lvlOverride w:ilvl="8"/>
  </w:num>
  <w:num w:numId="14">
    <w:abstractNumId w:val="14"/>
    <w:lvlOverride w:ilvl="0"/>
    <w:lvlOverride w:ilvl="1"/>
    <w:lvlOverride w:ilvl="2"/>
    <w:lvlOverride w:ilvl="3"/>
    <w:lvlOverride w:ilvl="4"/>
    <w:lvlOverride w:ilvl="5"/>
    <w:lvlOverride w:ilvl="6"/>
    <w:lvlOverride w:ilvl="7"/>
    <w:lvlOverride w:ilvl="8"/>
  </w:num>
  <w:num w:numId="15">
    <w:abstractNumId w:val="3"/>
    <w:lvlOverride w:ilvl="0"/>
    <w:lvlOverride w:ilvl="1"/>
    <w:lvlOverride w:ilvl="2"/>
    <w:lvlOverride w:ilvl="3"/>
    <w:lvlOverride w:ilvl="4"/>
    <w:lvlOverride w:ilvl="5"/>
    <w:lvlOverride w:ilvl="6"/>
    <w:lvlOverride w:ilvl="7"/>
    <w:lvlOverride w:ilvl="8"/>
  </w:num>
  <w:num w:numId="16">
    <w:abstractNumId w:val="13"/>
    <w:lvlOverride w:ilvl="0"/>
    <w:lvlOverride w:ilvl="1"/>
    <w:lvlOverride w:ilvl="2"/>
    <w:lvlOverride w:ilvl="3"/>
    <w:lvlOverride w:ilvl="4"/>
    <w:lvlOverride w:ilvl="5"/>
    <w:lvlOverride w:ilvl="6"/>
    <w:lvlOverride w:ilvl="7"/>
    <w:lvlOverride w:ilvl="8"/>
  </w:num>
  <w:num w:numId="17">
    <w:abstractNumId w:val="11"/>
  </w:num>
  <w:num w:numId="18">
    <w:abstractNumId w:val="12"/>
  </w:num>
  <w:num w:numId="19">
    <w:abstractNumId w:val="5"/>
  </w:num>
  <w:num w:numId="20">
    <w:abstractNumId w:val="0"/>
  </w:num>
  <w:num w:numId="21">
    <w:abstractNumId w:val="2"/>
  </w:num>
  <w:num w:numId="22">
    <w:abstractNumId w:val="8"/>
  </w:num>
  <w:num w:numId="23">
    <w:abstractNumId w:val="4"/>
  </w:num>
  <w:num w:numId="24">
    <w:abstractNumId w:val="9"/>
  </w:num>
  <w:num w:numId="25">
    <w:abstractNumId w:val="7"/>
  </w:num>
  <w:num w:numId="26">
    <w:abstractNumId w:val="6"/>
  </w:num>
  <w:num w:numId="27">
    <w:abstractNumId w:val="10"/>
  </w:num>
  <w:num w:numId="28">
    <w:abstractNumId w:val="1"/>
  </w:num>
  <w:num w:numId="29">
    <w:abstractNumId w:val="14"/>
  </w:num>
  <w:num w:numId="30">
    <w:abstractNumId w:val="3"/>
  </w:num>
  <w:num w:numId="31">
    <w:abstractNumId w:val="13"/>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411"/>
    <w:rsid w:val="00107411"/>
    <w:rsid w:val="006720DB"/>
    <w:rsid w:val="00ED3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4F5B"/>
  <w15:chartTrackingRefBased/>
  <w15:docId w15:val="{B53EF1B2-2704-44CC-B677-BC978118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411"/>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07411"/>
    <w:rPr>
      <w:color w:val="0563C1" w:themeColor="hyperlink"/>
      <w:u w:val="single"/>
    </w:rPr>
  </w:style>
  <w:style w:type="paragraph" w:styleId="NormalWeb">
    <w:name w:val="Normal (Web)"/>
    <w:basedOn w:val="Normal"/>
    <w:uiPriority w:val="99"/>
    <w:unhideWhenUsed/>
    <w:rsid w:val="001074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basedOn w:val="DefaultParagraphFont"/>
    <w:link w:val="ListParagraph"/>
    <w:uiPriority w:val="34"/>
    <w:qFormat/>
    <w:locked/>
    <w:rsid w:val="00107411"/>
  </w:style>
  <w:style w:type="paragraph" w:styleId="ListParagraph">
    <w:name w:val="List Paragraph"/>
    <w:basedOn w:val="Normal"/>
    <w:link w:val="ListParagraphChar"/>
    <w:uiPriority w:val="34"/>
    <w:qFormat/>
    <w:rsid w:val="00107411"/>
    <w:pPr>
      <w:ind w:left="720"/>
      <w:contextualSpacing/>
    </w:pPr>
    <w:rPr>
      <w:kern w:val="0"/>
      <w14:ligatures w14:val="none"/>
    </w:rPr>
  </w:style>
  <w:style w:type="table" w:customStyle="1" w:styleId="GridTable5Dark-Accent3111">
    <w:name w:val="Grid Table 5 Dark - Accent 3111"/>
    <w:basedOn w:val="TableNormal"/>
    <w:uiPriority w:val="50"/>
    <w:rsid w:val="00107411"/>
    <w:pPr>
      <w:spacing w:after="0" w:line="240" w:lineRule="auto"/>
    </w:pPr>
    <w:rPr>
      <w:rFonts w:ascii="Times New Roman" w:eastAsia="SimSun" w:hAnsi="Times New Roman" w:cs="Times New Roman"/>
      <w:kern w:val="2"/>
      <w:sz w:val="20"/>
      <w:szCs w:val="28"/>
      <w:lang w:bidi="th-TH"/>
      <w14:ligatures w14:val="standardContextual"/>
    </w:rPr>
    <w:tblPr>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character" w:styleId="Strong">
    <w:name w:val="Strong"/>
    <w:basedOn w:val="DefaultParagraphFont"/>
    <w:uiPriority w:val="22"/>
    <w:qFormat/>
    <w:rsid w:val="00107411"/>
    <w:rPr>
      <w:b/>
      <w:bCs/>
    </w:rPr>
  </w:style>
  <w:style w:type="character" w:styleId="Emphasis">
    <w:name w:val="Emphasis"/>
    <w:basedOn w:val="DefaultParagraphFont"/>
    <w:uiPriority w:val="20"/>
    <w:qFormat/>
    <w:rsid w:val="00107411"/>
    <w:rPr>
      <w:i/>
      <w:iCs/>
    </w:rPr>
  </w:style>
  <w:style w:type="paragraph" w:styleId="NoSpacing">
    <w:name w:val="No Spacing"/>
    <w:uiPriority w:val="1"/>
    <w:qFormat/>
    <w:rsid w:val="00107411"/>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42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cid:c51541ed-2a4a-40b6-b90d-f996f5ac841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cid:image001.png@01DC42A2.322CE35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2059</Words>
  <Characters>11741</Characters>
  <Application>Microsoft Office Word</Application>
  <DocSecurity>0</DocSecurity>
  <Lines>97</Lines>
  <Paragraphs>27</Paragraphs>
  <ScaleCrop>false</ScaleCrop>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Tesfaye Kebede</dc:creator>
  <cp:keywords/>
  <dc:description/>
  <cp:lastModifiedBy>Tesfaye Kebede</cp:lastModifiedBy>
  <cp:revision>1</cp:revision>
  <dcterms:created xsi:type="dcterms:W3CDTF">2025-11-03T14:39:00Z</dcterms:created>
  <dcterms:modified xsi:type="dcterms:W3CDTF">2025-11-03T14:48:00Z</dcterms:modified>
</cp:coreProperties>
</file>