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2D26" w14:textId="484AD86E" w:rsidR="003738C8" w:rsidRPr="0062351C" w:rsidRDefault="003738C8" w:rsidP="003738C8">
      <w:pPr>
        <w:ind w:left="720"/>
        <w:jc w:val="center"/>
        <w:rPr>
          <w:rFonts w:ascii="Times New Roman" w:hAnsi="Times New Roman" w:cs="Times New Roman"/>
          <w:b/>
          <w:bCs/>
          <w:sz w:val="36"/>
          <w:szCs w:val="36"/>
        </w:rPr>
      </w:pPr>
      <w:r w:rsidRPr="003738C8">
        <w:rPr>
          <w:rFonts w:ascii="Times New Roman" w:hAnsi="Times New Roman" w:cs="Times New Roman"/>
          <w:b/>
          <w:bCs/>
          <w:sz w:val="36"/>
          <w:szCs w:val="36"/>
        </w:rPr>
        <w:t>Fiscal Autonomy of Prayagraj Municipal Corporation: Trends, Challenges, and Policy Implications</w:t>
      </w:r>
    </w:p>
    <w:p w14:paraId="7CB5773E" w14:textId="77777777" w:rsidR="003738C8" w:rsidRPr="000411D4" w:rsidRDefault="003738C8" w:rsidP="003738C8">
      <w:pPr>
        <w:ind w:left="720"/>
        <w:jc w:val="center"/>
        <w:rPr>
          <w:rFonts w:ascii="Times New Roman" w:hAnsi="Times New Roman" w:cs="Times New Roman"/>
          <w:b/>
          <w:bCs/>
        </w:rPr>
      </w:pPr>
    </w:p>
    <w:p w14:paraId="40A2664E" w14:textId="0BAE3CC3" w:rsidR="003738C8" w:rsidRPr="000411D4" w:rsidRDefault="003738C8" w:rsidP="003738C8">
      <w:pPr>
        <w:ind w:left="720"/>
        <w:jc w:val="center"/>
        <w:rPr>
          <w:rFonts w:ascii="Times New Roman" w:hAnsi="Times New Roman" w:cs="Times New Roman"/>
          <w:b/>
          <w:bCs/>
        </w:rPr>
        <w:sectPr w:rsidR="003738C8" w:rsidRPr="000411D4" w:rsidSect="003738C8">
          <w:type w:val="continuous"/>
          <w:pgSz w:w="12240" w:h="15840"/>
          <w:pgMar w:top="720" w:right="720" w:bottom="720" w:left="720" w:header="708" w:footer="708" w:gutter="0"/>
          <w:cols w:space="708"/>
          <w:docGrid w:linePitch="360"/>
        </w:sectPr>
      </w:pPr>
    </w:p>
    <w:p w14:paraId="08F910E9" w14:textId="0D5BDE1F" w:rsidR="002120CE" w:rsidRPr="000411D4" w:rsidRDefault="00B453AD" w:rsidP="003738C8">
      <w:pPr>
        <w:jc w:val="both"/>
        <w:rPr>
          <w:rFonts w:ascii="Times New Roman" w:hAnsi="Times New Roman" w:cs="Times New Roman"/>
        </w:rPr>
      </w:pPr>
      <w:r w:rsidRPr="000411D4">
        <w:rPr>
          <w:rFonts w:ascii="Times New Roman" w:hAnsi="Times New Roman" w:cs="Times New Roman"/>
          <w:b/>
          <w:bCs/>
          <w:i/>
          <w:iCs/>
        </w:rPr>
        <w:t>A</w:t>
      </w:r>
      <w:r w:rsidR="003738C8" w:rsidRPr="000411D4">
        <w:rPr>
          <w:rFonts w:ascii="Times New Roman" w:hAnsi="Times New Roman" w:cs="Times New Roman"/>
          <w:b/>
          <w:bCs/>
          <w:i/>
          <w:iCs/>
        </w:rPr>
        <w:t>bstract</w:t>
      </w:r>
      <w:r w:rsidRPr="000411D4">
        <w:rPr>
          <w:rFonts w:ascii="Times New Roman" w:hAnsi="Times New Roman" w:cs="Times New Roman"/>
          <w:i/>
          <w:iCs/>
        </w:rPr>
        <w:t>-</w:t>
      </w:r>
      <w:r w:rsidRPr="000411D4">
        <w:rPr>
          <w:rFonts w:ascii="Times New Roman" w:hAnsi="Times New Roman" w:cs="Times New Roman"/>
        </w:rPr>
        <w:t xml:space="preserve"> </w:t>
      </w:r>
      <w:r w:rsidR="002120CE" w:rsidRPr="000411D4">
        <w:rPr>
          <w:rFonts w:ascii="Times New Roman" w:hAnsi="Times New Roman" w:cs="Times New Roman"/>
        </w:rPr>
        <w:t>The financial stability and operational efficacy of municipal corporations are significantly influenced by fiscal autonomy. By reducing their dependency on unnecessary grants and encouraging long-term growth, it shows how capable local governments are of generating and financing their own income. Using revenue, expenditure patterns, and key financial performance metrics, the study examines the Prayagraj Municipal Corporation’s fiscal independence trends and problems during a four-year period (2019–2023). The corporation’s financial reports, including its income statements, expenditure statements, and capital expenditures accounts, provide secondary data that is used for analysis.</w:t>
      </w:r>
    </w:p>
    <w:p w14:paraId="66D987D5" w14:textId="1C5F7E3C" w:rsidR="002120CE" w:rsidRPr="000411D4" w:rsidRDefault="002120CE" w:rsidP="003738C8">
      <w:pPr>
        <w:jc w:val="both"/>
        <w:rPr>
          <w:rFonts w:ascii="Times New Roman" w:hAnsi="Times New Roman" w:cs="Times New Roman"/>
        </w:rPr>
      </w:pPr>
      <w:r w:rsidRPr="000411D4">
        <w:rPr>
          <w:rFonts w:ascii="Times New Roman" w:hAnsi="Times New Roman" w:cs="Times New Roman"/>
        </w:rPr>
        <w:t>The study evaluates fiscal performance using a mixed methodology that combines descriptive and ratio analysis. Measures such as the Self Dependency Ratio (SDR), Grants Dependency Ratio (GDR), and Expenditure Efficiency Ratio (EER) are used to assess the company’s operational effectiveness and financial independence. With a significant increase in total revenue from Rs. 2,27,29,06,071.69 in 2019–20 to Rs. 7,12,83,08,271.55 in 2022–23, the results indicate significant swings in spend and income patterns. With the funds Dependency Ratio averaging 69.85% across the study period, however, the data reveals a persistent reliance on funds, suggesting little financial independence.</w:t>
      </w:r>
    </w:p>
    <w:p w14:paraId="33F57008" w14:textId="77777777" w:rsidR="002120CE" w:rsidRPr="000411D4" w:rsidRDefault="002120CE" w:rsidP="003738C8">
      <w:pPr>
        <w:jc w:val="both"/>
        <w:rPr>
          <w:rFonts w:ascii="Times New Roman" w:hAnsi="Times New Roman" w:cs="Times New Roman"/>
        </w:rPr>
      </w:pPr>
      <w:r w:rsidRPr="000411D4">
        <w:rPr>
          <w:rFonts w:ascii="Times New Roman" w:hAnsi="Times New Roman" w:cs="Times New Roman"/>
        </w:rPr>
        <w:t xml:space="preserve">Despite growing from 6.53% in 2019–20 to 34.01% in 2022–23, the Self Dependency Ratio is still below average, indicating the need for more ways to generate revenue. The patterns in capital expenditure likewise show a patchy picture, with the Expenditure Efficiency Ratio reaching its peak of 65.38% in 2021–2022 and then falling to 40.43% in 2022–2023, illustrating the waste and inefficiencies in resource distribution. Poor revenue diversification, low tax compliance, and an over-reliance on federal and state </w:t>
      </w:r>
      <w:r w:rsidRPr="000411D4">
        <w:rPr>
          <w:rFonts w:ascii="Times New Roman" w:hAnsi="Times New Roman" w:cs="Times New Roman"/>
        </w:rPr>
        <w:t>funds are among the issues highlighted in the study. To address these issues, the report recommends legislative solutions such as improved tax collecting systems, public-private partnerships for infrastructure development, and initiatives to increase municipal personnel’ ability.</w:t>
      </w:r>
    </w:p>
    <w:p w14:paraId="5E6C98B3" w14:textId="69BC7E28" w:rsidR="00AE7BF9" w:rsidRPr="000411D4" w:rsidRDefault="002120CE" w:rsidP="003738C8">
      <w:pPr>
        <w:jc w:val="both"/>
        <w:rPr>
          <w:rFonts w:ascii="Times New Roman" w:hAnsi="Times New Roman" w:cs="Times New Roman"/>
        </w:rPr>
      </w:pPr>
      <w:r w:rsidRPr="000411D4">
        <w:rPr>
          <w:rFonts w:ascii="Times New Roman" w:hAnsi="Times New Roman" w:cs="Times New Roman"/>
        </w:rPr>
        <w:t>This research adds to the emerging literature on municipal finance by offering a holistic analysis of fiscal autonomy in Prayagraj Municipal Corporation. The results provide useful learning points for policymakers, city planners, and local government officials who wish to enhance financial autonomy and advance the sustainability of urban development. Through addressing the noted challenges, municipal corporations can improve fiscal resilience and effectively serve the public.</w:t>
      </w:r>
    </w:p>
    <w:p w14:paraId="79975EED" w14:textId="031731E3" w:rsidR="002120CE" w:rsidRPr="000411D4" w:rsidRDefault="002120CE" w:rsidP="003738C8">
      <w:pPr>
        <w:jc w:val="both"/>
        <w:rPr>
          <w:rFonts w:ascii="Times New Roman" w:hAnsi="Times New Roman" w:cs="Times New Roman"/>
        </w:rPr>
      </w:pPr>
      <w:r w:rsidRPr="000411D4">
        <w:rPr>
          <w:rFonts w:ascii="Times New Roman" w:hAnsi="Times New Roman" w:cs="Times New Roman"/>
          <w:b/>
          <w:bCs/>
          <w:i/>
          <w:iCs/>
        </w:rPr>
        <w:t>I</w:t>
      </w:r>
      <w:r w:rsidR="003738C8" w:rsidRPr="000411D4">
        <w:rPr>
          <w:rFonts w:ascii="Times New Roman" w:hAnsi="Times New Roman" w:cs="Times New Roman"/>
          <w:b/>
          <w:bCs/>
          <w:i/>
          <w:iCs/>
        </w:rPr>
        <w:t>ndex Terms</w:t>
      </w:r>
      <w:r w:rsidR="003738C8" w:rsidRPr="000411D4">
        <w:rPr>
          <w:rFonts w:ascii="Times New Roman" w:hAnsi="Times New Roman" w:cs="Times New Roman"/>
          <w:b/>
          <w:bCs/>
        </w:rPr>
        <w:t xml:space="preserve">- </w:t>
      </w:r>
      <w:r w:rsidRPr="000411D4">
        <w:rPr>
          <w:rFonts w:ascii="Times New Roman" w:hAnsi="Times New Roman" w:cs="Times New Roman"/>
        </w:rPr>
        <w:t>Fiscal Autonomy, Municipal Finance, Revenue Generation, Expenditure Patterns, Self Dependency Ratio (SDR), Grants Dependency Ratio (GDR), Expenditure Efficiency Ratio (EER), Local Government Finance, Urban Governance, Fiscal Performance, Revenue Diversification, Public-Private Partnerships, Tax Compliance, Sustainable Urban Development, Financial Independence.</w:t>
      </w:r>
    </w:p>
    <w:p w14:paraId="48E3EBEF" w14:textId="5FC639CA" w:rsidR="00C07783" w:rsidRPr="000411D4" w:rsidRDefault="003738C8" w:rsidP="003738C8">
      <w:pPr>
        <w:rPr>
          <w:rFonts w:ascii="Times New Roman" w:hAnsi="Times New Roman" w:cs="Times New Roman"/>
          <w:b/>
          <w:bCs/>
        </w:rPr>
      </w:pPr>
      <w:r w:rsidRPr="000411D4">
        <w:rPr>
          <w:rFonts w:ascii="Times New Roman" w:hAnsi="Times New Roman" w:cs="Times New Roman"/>
          <w:b/>
          <w:bCs/>
        </w:rPr>
        <w:t xml:space="preserve">I. </w:t>
      </w:r>
      <w:r w:rsidR="00C07783" w:rsidRPr="000411D4">
        <w:rPr>
          <w:rFonts w:ascii="Times New Roman" w:hAnsi="Times New Roman" w:cs="Times New Roman"/>
          <w:b/>
          <w:bCs/>
        </w:rPr>
        <w:t>INTRODUCTION</w:t>
      </w:r>
    </w:p>
    <w:p w14:paraId="2552ED37" w14:textId="572CAFC9" w:rsidR="008B68CF" w:rsidRPr="000411D4" w:rsidRDefault="008B68CF" w:rsidP="003738C8">
      <w:pPr>
        <w:jc w:val="both"/>
        <w:rPr>
          <w:rFonts w:ascii="Times New Roman" w:hAnsi="Times New Roman" w:cs="Times New Roman"/>
          <w:b/>
          <w:bCs/>
        </w:rPr>
      </w:pPr>
      <w:r w:rsidRPr="000411D4">
        <w:rPr>
          <w:rFonts w:ascii="Times New Roman" w:hAnsi="Times New Roman" w:cs="Times New Roman"/>
        </w:rPr>
        <w:t xml:space="preserve">Good local administration relies heavily on fiscal autonomy, which enables municipal corporations to build infrastructure, offer essential services, and promote sustainable urban growth. It is the ability of local governments to generate and administer their own income, reducing their dependency on unnecessary grants and granting them financial independence. Fiscal autonomy is now a crucial factor in determining the operational effectiveness and long-term sustainability of municipal authorities in the context of rapid urbanization and rising demands on urban </w:t>
      </w:r>
      <w:proofErr w:type="gramStart"/>
      <w:r w:rsidRPr="000411D4">
        <w:rPr>
          <w:rFonts w:ascii="Times New Roman" w:hAnsi="Times New Roman" w:cs="Times New Roman"/>
        </w:rPr>
        <w:t>infrastructure</w:t>
      </w:r>
      <w:r w:rsidR="009620E7" w:rsidRPr="000411D4">
        <w:rPr>
          <w:rFonts w:ascii="Times New Roman" w:hAnsi="Times New Roman" w:cs="Times New Roman"/>
        </w:rPr>
        <w:t xml:space="preserve"> .</w:t>
      </w:r>
      <w:proofErr w:type="gramEnd"/>
      <w:r w:rsidR="009620E7" w:rsidRPr="000411D4">
        <w:rPr>
          <w:rFonts w:ascii="Times New Roman" w:hAnsi="Times New Roman" w:cs="Times New Roman"/>
        </w:rPr>
        <w:t xml:space="preserve"> </w:t>
      </w:r>
      <w:r w:rsidRPr="000411D4">
        <w:rPr>
          <w:rFonts w:ascii="Times New Roman" w:hAnsi="Times New Roman" w:cs="Times New Roman"/>
        </w:rPr>
        <w:t xml:space="preserve">In order to identify trends, obstacles, and areas for improvement, the </w:t>
      </w:r>
      <w:r w:rsidRPr="000411D4">
        <w:rPr>
          <w:rFonts w:ascii="Times New Roman" w:hAnsi="Times New Roman" w:cs="Times New Roman"/>
        </w:rPr>
        <w:lastRenderedPageBreak/>
        <w:t>Prayagraj Municipal Corporation is the focus of the current study, which examines its budgetary autonomy over a four-year period (2019–2023). Since they provide essential services like waste disposal, sanitation, water supply, and public health, Indian municipal corporations constitute the backbone of urban development. However, their low financial independence and over-reliance on subsidies from the state and central government always hinder their ability to carry out these duties.</w:t>
      </w:r>
    </w:p>
    <w:p w14:paraId="79632D85" w14:textId="77777777" w:rsidR="008B68CF" w:rsidRPr="000411D4" w:rsidRDefault="008B68CF" w:rsidP="003738C8">
      <w:pPr>
        <w:jc w:val="both"/>
        <w:rPr>
          <w:rFonts w:ascii="Times New Roman" w:hAnsi="Times New Roman" w:cs="Times New Roman"/>
        </w:rPr>
      </w:pPr>
      <w:r w:rsidRPr="000411D4">
        <w:rPr>
          <w:rFonts w:ascii="Times New Roman" w:hAnsi="Times New Roman" w:cs="Times New Roman"/>
        </w:rPr>
        <w:t xml:space="preserve">By giving municipal institutions the freedom to independently design and carry out development projects, budgetary autonomy promotes accountability and responsiveness to local </w:t>
      </w:r>
      <w:proofErr w:type="gramStart"/>
      <w:r w:rsidRPr="000411D4">
        <w:rPr>
          <w:rFonts w:ascii="Times New Roman" w:hAnsi="Times New Roman" w:cs="Times New Roman"/>
        </w:rPr>
        <w:t>demands.Many</w:t>
      </w:r>
      <w:proofErr w:type="gramEnd"/>
      <w:r w:rsidRPr="000411D4">
        <w:rPr>
          <w:rFonts w:ascii="Times New Roman" w:hAnsi="Times New Roman" w:cs="Times New Roman"/>
        </w:rPr>
        <w:t xml:space="preserve"> municipal corporations, like Prayagraj, have numerous administrative, structural, and policy-related obstacles that make achieving fiscal autonomy extremely difficult. One of Uttar Pradesh's biggest and most important historical cities is Prayagraj, formerly known as Allahabad. The Prayagraj Municipal Corporation is in charge of managing the public services and infrastructure of the city, which has a population of approximately 1.2 million. A number of financial issues have plagued the company over the years, including low tax compliance, inadequate income diversification, and ineffective expense management. Its journey to fiscal autonomy has been hampered by these issues, which has had a negative impact on infrastructure development and the standard of urban services.</w:t>
      </w:r>
    </w:p>
    <w:p w14:paraId="6CD63FA6" w14:textId="5F10F569" w:rsidR="008B68CF" w:rsidRPr="000411D4" w:rsidRDefault="008B68CF" w:rsidP="003738C8">
      <w:pPr>
        <w:jc w:val="both"/>
        <w:rPr>
          <w:rFonts w:ascii="Times New Roman" w:hAnsi="Times New Roman" w:cs="Times New Roman"/>
        </w:rPr>
      </w:pPr>
      <w:r w:rsidRPr="000411D4">
        <w:rPr>
          <w:rFonts w:ascii="Times New Roman" w:hAnsi="Times New Roman" w:cs="Times New Roman"/>
        </w:rPr>
        <w:t xml:space="preserve">This study aims to analyze the fiscal performance of the Prayagraj Municipal Corporation, focusing specifically on revenue generation, expenditure patterns, and key financial metrics. By examining data from 2019 to 2023, the research seeks to answer critical questions: How has </w:t>
      </w:r>
      <w:r w:rsidR="00B3058A" w:rsidRPr="000411D4">
        <w:rPr>
          <w:rFonts w:ascii="Times New Roman" w:hAnsi="Times New Roman" w:cs="Times New Roman"/>
        </w:rPr>
        <w:t xml:space="preserve">the </w:t>
      </w:r>
      <w:r w:rsidRPr="000411D4">
        <w:rPr>
          <w:rFonts w:ascii="Times New Roman" w:hAnsi="Times New Roman" w:cs="Times New Roman"/>
        </w:rPr>
        <w:t xml:space="preserve">corporation’s revenue structure changed over time? To what extent does it rely on external grants? How effective is its expenditure management, especially regarding capital projects? To tackle these questions, the study uses a mixed-method approach, combining descriptive analysis with financial ratios such as the Self Dependency Ratio (SDR), Grants Dependency </w:t>
      </w:r>
      <w:r w:rsidRPr="000411D4">
        <w:rPr>
          <w:rFonts w:ascii="Times New Roman" w:hAnsi="Times New Roman" w:cs="Times New Roman"/>
        </w:rPr>
        <w:t>Ratio (GDR), and Expenditure Efficiency Ratio (EER).</w:t>
      </w:r>
    </w:p>
    <w:p w14:paraId="7254B891" w14:textId="77777777" w:rsidR="008B68CF" w:rsidRPr="000411D4" w:rsidRDefault="008B68CF" w:rsidP="003738C8">
      <w:pPr>
        <w:jc w:val="both"/>
        <w:rPr>
          <w:rFonts w:ascii="Times New Roman" w:hAnsi="Times New Roman" w:cs="Times New Roman"/>
        </w:rPr>
      </w:pPr>
      <w:r w:rsidRPr="000411D4">
        <w:rPr>
          <w:rFonts w:ascii="Times New Roman" w:hAnsi="Times New Roman" w:cs="Times New Roman"/>
        </w:rPr>
        <w:t>This study provides important insights into the financial condition of the Prayagraj Municipal Corporation. Over the four-year period, total income has seen a significant increase, growing from Rs. 2,27,29,06,071.69 in 2019–20 to Rs. 7,12,83,08,271.55 in 2022–23. However, the corporation still heavily relies on grants, with an average Grants Dependency Ratio of 69.85%. Although the Self Dependency Ratio has shown some improvement, it remains below ideal levels, indicating that there has been limited progress in generating revenue independently. Furthermore, variations in the Expenditure Efficiency Ratio point to inefficiencies in how resources are allocated, especially regarding capital expenditures. The study also highlights several challenges, such as low tax compliance, insufficient revenue diversification, and inefficiencies in managing expenditures. To tackle these issues, the paper suggests policy recommendations like enhancing tax collection methods, fostering public-private partnerships, and improving administrative capabilities. By adopting these strategies, the Prayagraj Municipal Corporation can boost its financial independence, paving the way for sustainable urban development and improved service delivery.</w:t>
      </w:r>
    </w:p>
    <w:p w14:paraId="53050477" w14:textId="49AAABAD" w:rsidR="0006136E" w:rsidRPr="000411D4" w:rsidRDefault="008B68CF" w:rsidP="003738C8">
      <w:pPr>
        <w:jc w:val="both"/>
        <w:rPr>
          <w:rFonts w:ascii="Times New Roman" w:hAnsi="Times New Roman" w:cs="Times New Roman"/>
        </w:rPr>
      </w:pPr>
      <w:r w:rsidRPr="000411D4">
        <w:rPr>
          <w:rFonts w:ascii="Times New Roman" w:hAnsi="Times New Roman" w:cs="Times New Roman"/>
        </w:rPr>
        <w:t>This research contributes to the broader discourse on municipal finance by providing a detailed analysis of fiscal autonomy in a rapidly urbanizing Indian city. The findings offer valuable insights for policymakers, urban planners, and local government authorities, highlighting the importance of financial independence in achieving sustainable urban growth. Through this study, we aim to provide a roadmap for strengthening fiscal autonomy, not only in Prayagraj but also in other municipal corporations facing similar challenges.</w:t>
      </w:r>
    </w:p>
    <w:p w14:paraId="1C27C9EB" w14:textId="77777777" w:rsidR="001F3227" w:rsidRPr="000411D4" w:rsidRDefault="001F3227" w:rsidP="003738C8">
      <w:pPr>
        <w:jc w:val="both"/>
        <w:rPr>
          <w:rFonts w:ascii="Times New Roman" w:hAnsi="Times New Roman" w:cs="Times New Roman"/>
          <w:b/>
          <w:bCs/>
        </w:rPr>
      </w:pPr>
      <w:r w:rsidRPr="000411D4">
        <w:rPr>
          <w:rFonts w:ascii="Times New Roman" w:hAnsi="Times New Roman" w:cs="Times New Roman"/>
          <w:b/>
          <w:bCs/>
        </w:rPr>
        <w:t>II. LITERATURE REVIEW</w:t>
      </w:r>
    </w:p>
    <w:p w14:paraId="7D6296AE" w14:textId="528CB61B" w:rsidR="001F3227" w:rsidRPr="000411D4" w:rsidRDefault="001F3227" w:rsidP="003738C8">
      <w:pPr>
        <w:jc w:val="both"/>
        <w:rPr>
          <w:rFonts w:ascii="Times New Roman" w:hAnsi="Times New Roman" w:cs="Times New Roman"/>
        </w:rPr>
      </w:pPr>
      <w:r w:rsidRPr="000411D4">
        <w:rPr>
          <w:rFonts w:ascii="Times New Roman" w:hAnsi="Times New Roman" w:cs="Times New Roman"/>
        </w:rPr>
        <w:t xml:space="preserve">The idea of fiscal autonomy has been widely examined in relation to local governance, with researchers highlighting its vital importance in </w:t>
      </w:r>
      <w:r w:rsidRPr="000411D4">
        <w:rPr>
          <w:rFonts w:ascii="Times New Roman" w:hAnsi="Times New Roman" w:cs="Times New Roman"/>
        </w:rPr>
        <w:lastRenderedPageBreak/>
        <w:t>allowing municipal corporations to provide essential services and engage in infrastructure development. Fiscal autonomy means that local governments can generate and manage their own revenue, which decreases reliance on external grants and promotes financial independence. This literature review brings together existing studies on municipal fiscal autonomy, concentrating on its factors, challenges, and effects on urban development.</w:t>
      </w:r>
    </w:p>
    <w:p w14:paraId="4A3B941C" w14:textId="77777777" w:rsidR="001F3227" w:rsidRPr="000411D4" w:rsidRDefault="001F3227" w:rsidP="003738C8">
      <w:pPr>
        <w:jc w:val="both"/>
        <w:rPr>
          <w:rFonts w:ascii="Times New Roman" w:hAnsi="Times New Roman" w:cs="Times New Roman"/>
          <w:b/>
          <w:bCs/>
        </w:rPr>
      </w:pPr>
      <w:r w:rsidRPr="000411D4">
        <w:rPr>
          <w:rFonts w:ascii="Times New Roman" w:hAnsi="Times New Roman" w:cs="Times New Roman"/>
          <w:b/>
          <w:bCs/>
        </w:rPr>
        <w:t>Theoretical Foundations of Fiscal Autonomy</w:t>
      </w:r>
    </w:p>
    <w:p w14:paraId="2AF4BF09" w14:textId="77777777" w:rsidR="001F3227" w:rsidRPr="000411D4" w:rsidRDefault="001F3227" w:rsidP="003738C8">
      <w:pPr>
        <w:jc w:val="both"/>
        <w:rPr>
          <w:rFonts w:ascii="Times New Roman" w:hAnsi="Times New Roman" w:cs="Times New Roman"/>
        </w:rPr>
      </w:pPr>
      <w:r w:rsidRPr="000411D4">
        <w:rPr>
          <w:rFonts w:ascii="Times New Roman" w:hAnsi="Times New Roman" w:cs="Times New Roman"/>
        </w:rPr>
        <w:t>The concept of fiscal autonomy is fundamentally based on the ideas of decentralization and local self-governance. In his influential work on fiscal federalism, Oates (1972) suggested that decentralization improves efficiency by aligning the delivery of public services with the preferences of local communities. Fiscal autonomy plays a crucial role in this process, allowing local governments to customize their policies and spending to address the unique needs of their residents. Bird (2000) also highlighted that fiscal autonomy promotes accountability, as local governments are directly answerable to their constituents for how they generate revenue and manage expenditures.</w:t>
      </w:r>
    </w:p>
    <w:p w14:paraId="0973843F" w14:textId="77777777" w:rsidR="00CE16F9" w:rsidRPr="000411D4" w:rsidRDefault="001F3227" w:rsidP="003738C8">
      <w:pPr>
        <w:jc w:val="both"/>
        <w:rPr>
          <w:rFonts w:ascii="Times New Roman" w:hAnsi="Times New Roman" w:cs="Times New Roman"/>
          <w:b/>
          <w:bCs/>
        </w:rPr>
      </w:pPr>
      <w:r w:rsidRPr="000411D4">
        <w:rPr>
          <w:rFonts w:ascii="Times New Roman" w:hAnsi="Times New Roman" w:cs="Times New Roman"/>
          <w:b/>
          <w:bCs/>
        </w:rPr>
        <w:t>Determinants of Fiscal Autonomy</w:t>
      </w:r>
    </w:p>
    <w:p w14:paraId="6D2DA423" w14:textId="756A48B0" w:rsidR="001F3227" w:rsidRPr="000411D4" w:rsidRDefault="001F3227" w:rsidP="003738C8">
      <w:pPr>
        <w:jc w:val="both"/>
        <w:rPr>
          <w:rFonts w:ascii="Times New Roman" w:hAnsi="Times New Roman" w:cs="Times New Roman"/>
          <w:b/>
          <w:bCs/>
        </w:rPr>
      </w:pPr>
      <w:r w:rsidRPr="000411D4">
        <w:rPr>
          <w:rFonts w:ascii="Times New Roman" w:hAnsi="Times New Roman" w:cs="Times New Roman"/>
        </w:rPr>
        <w:t xml:space="preserve"> Several factors influence the fiscal autonomy of municipal corporations. Rao and Bird (2010) identified own revenue generation as the most critical determinant, highlighting the importance of local taxes, fees, and user charges. However, they also noted that the capacity to generate own revenue varies significantly across municipalities, depending on factors such as economic base, administrative capacity, and legal frameworks. Bahl and Linn (1992) emphasized the role of intergovernmental transfers, arguing that while grants are essential for addressing fiscal disparities, over reliance on them can undermine local autonomy.</w:t>
      </w:r>
    </w:p>
    <w:p w14:paraId="6D3A5FB2" w14:textId="77777777" w:rsidR="00CE16F9" w:rsidRPr="000411D4" w:rsidRDefault="001F3227" w:rsidP="003738C8">
      <w:pPr>
        <w:jc w:val="both"/>
        <w:rPr>
          <w:rFonts w:ascii="Times New Roman" w:hAnsi="Times New Roman" w:cs="Times New Roman"/>
          <w:b/>
          <w:bCs/>
        </w:rPr>
      </w:pPr>
      <w:r w:rsidRPr="000411D4">
        <w:rPr>
          <w:rFonts w:ascii="Times New Roman" w:hAnsi="Times New Roman" w:cs="Times New Roman"/>
          <w:b/>
          <w:bCs/>
        </w:rPr>
        <w:t>Challenges to Fiscal Autonomy</w:t>
      </w:r>
    </w:p>
    <w:p w14:paraId="7C790525" w14:textId="77777777" w:rsidR="0089290E" w:rsidRPr="000411D4" w:rsidRDefault="001F3227" w:rsidP="003738C8">
      <w:pPr>
        <w:jc w:val="both"/>
        <w:rPr>
          <w:rFonts w:ascii="Times New Roman" w:hAnsi="Times New Roman" w:cs="Times New Roman"/>
        </w:rPr>
      </w:pPr>
      <w:r w:rsidRPr="000411D4">
        <w:rPr>
          <w:rFonts w:ascii="Times New Roman" w:hAnsi="Times New Roman" w:cs="Times New Roman"/>
        </w:rPr>
        <w:t xml:space="preserve">Achieving fiscal autonomy is a significant challenge for many municipal corporations, despite its importance. Slack (2009) pointed out that low tax </w:t>
      </w:r>
      <w:r w:rsidRPr="000411D4">
        <w:rPr>
          <w:rFonts w:ascii="Times New Roman" w:hAnsi="Times New Roman" w:cs="Times New Roman"/>
        </w:rPr>
        <w:t xml:space="preserve">compliance is a major obstacle, which he attributed to weak enforcement mechanisms and a lack of public trust in local governments. In India, Mathur (2013) emphasized the inefficiencies in property tax collection, a key source of revenue for municipal corporations. He argued that outdated property valuation methods and insufficient administrative capacity have led to considerable revenue losses. </w:t>
      </w:r>
    </w:p>
    <w:p w14:paraId="24BEB561" w14:textId="2988B448" w:rsidR="001F3227" w:rsidRPr="000411D4" w:rsidRDefault="001F3227" w:rsidP="003738C8">
      <w:pPr>
        <w:jc w:val="both"/>
        <w:rPr>
          <w:rFonts w:ascii="Times New Roman" w:hAnsi="Times New Roman" w:cs="Times New Roman"/>
          <w:b/>
          <w:bCs/>
        </w:rPr>
      </w:pPr>
      <w:r w:rsidRPr="000411D4">
        <w:rPr>
          <w:rFonts w:ascii="Times New Roman" w:hAnsi="Times New Roman" w:cs="Times New Roman"/>
        </w:rPr>
        <w:t>Another issue is the limited diversification of revenue sources. Mohanty et al. (2007) noted that many municipal corporations in India depend heavily on a few revenue streams, making them susceptible to economic fluctuations. They suggested broadening the revenue base by introducing new taxes and user charges, as well as enhancing the efficiency of existing revenue channels. Expenditure management is also a critical concern. Ahluwalia (2019) highlighted that inefficient resource allocation, especially in capital projects, has obstructed municipal corporations from meeting their development objectives. She stressed the importance of improved planning and monitoring mechanisms to ensure that expenditures align with local priorities.</w:t>
      </w:r>
    </w:p>
    <w:p w14:paraId="349C0A3E" w14:textId="77777777" w:rsidR="001F3227" w:rsidRPr="000411D4" w:rsidRDefault="001F3227" w:rsidP="003738C8">
      <w:pPr>
        <w:jc w:val="both"/>
        <w:rPr>
          <w:rFonts w:ascii="Times New Roman" w:hAnsi="Times New Roman" w:cs="Times New Roman"/>
          <w:b/>
          <w:bCs/>
        </w:rPr>
      </w:pPr>
      <w:r w:rsidRPr="000411D4">
        <w:rPr>
          <w:rFonts w:ascii="Times New Roman" w:hAnsi="Times New Roman" w:cs="Times New Roman"/>
          <w:b/>
          <w:bCs/>
        </w:rPr>
        <w:t>Fiscal Autonomy and Urban Development</w:t>
      </w:r>
    </w:p>
    <w:p w14:paraId="4815EA71" w14:textId="77777777" w:rsidR="00472DD1" w:rsidRPr="000411D4" w:rsidRDefault="001F3227" w:rsidP="003738C8">
      <w:pPr>
        <w:jc w:val="both"/>
        <w:rPr>
          <w:rFonts w:ascii="Times New Roman" w:hAnsi="Times New Roman" w:cs="Times New Roman"/>
        </w:rPr>
      </w:pPr>
      <w:r w:rsidRPr="000411D4">
        <w:rPr>
          <w:rFonts w:ascii="Times New Roman" w:hAnsi="Times New Roman" w:cs="Times New Roman"/>
        </w:rPr>
        <w:t xml:space="preserve">The link between fiscal autonomy and urban development has been widely explored in the literature. </w:t>
      </w:r>
      <w:proofErr w:type="gramStart"/>
      <w:r w:rsidRPr="000411D4">
        <w:rPr>
          <w:rFonts w:ascii="Times New Roman" w:hAnsi="Times New Roman" w:cs="Times New Roman"/>
        </w:rPr>
        <w:t>Peterson  (</w:t>
      </w:r>
      <w:proofErr w:type="gramEnd"/>
      <w:r w:rsidRPr="000411D4">
        <w:rPr>
          <w:rFonts w:ascii="Times New Roman" w:hAnsi="Times New Roman" w:cs="Times New Roman"/>
        </w:rPr>
        <w:t>2006)  argued  that  fiscally  autonomous municipalities  are  better  equipped  to  invest  in infrastructure and public services, leading to improved quality of life and economic growth. He highlighted the importance of capital expenditure in driving urban development, noting that it enables municipalities to build and maintain critical infrastructure such as roads, water supply systems, and public transportation.</w:t>
      </w:r>
    </w:p>
    <w:p w14:paraId="2FE5B7AE" w14:textId="66E05B28" w:rsidR="001F3227" w:rsidRPr="000411D4" w:rsidRDefault="001F3227" w:rsidP="003738C8">
      <w:pPr>
        <w:jc w:val="both"/>
        <w:rPr>
          <w:rFonts w:ascii="Times New Roman" w:hAnsi="Times New Roman" w:cs="Times New Roman"/>
        </w:rPr>
      </w:pPr>
      <w:r w:rsidRPr="000411D4">
        <w:rPr>
          <w:rFonts w:ascii="Times New Roman" w:hAnsi="Times New Roman" w:cs="Times New Roman"/>
        </w:rPr>
        <w:t xml:space="preserve"> In the Indian context, Kundu (2011) examined the impact of fiscal autonomy on urban service delivery, finding that municipalities with higher own revenue generation were more effective in providing essential services. However, he also noted that fiscal autonomy alone is not sufficient; it must be </w:t>
      </w:r>
      <w:r w:rsidRPr="000411D4">
        <w:rPr>
          <w:rFonts w:ascii="Times New Roman" w:hAnsi="Times New Roman" w:cs="Times New Roman"/>
        </w:rPr>
        <w:lastRenderedPageBreak/>
        <w:t>accompanied by strong administrative capacity and governance structures.</w:t>
      </w:r>
    </w:p>
    <w:p w14:paraId="229107DE" w14:textId="7B3311E1" w:rsidR="001F3227" w:rsidRPr="000411D4" w:rsidRDefault="001F3227" w:rsidP="003738C8">
      <w:pPr>
        <w:jc w:val="both"/>
        <w:rPr>
          <w:rFonts w:ascii="Times New Roman" w:hAnsi="Times New Roman" w:cs="Times New Roman"/>
          <w:b/>
          <w:bCs/>
        </w:rPr>
      </w:pPr>
      <w:r w:rsidRPr="000411D4">
        <w:rPr>
          <w:rFonts w:ascii="Times New Roman" w:hAnsi="Times New Roman" w:cs="Times New Roman"/>
          <w:b/>
          <w:bCs/>
        </w:rPr>
        <w:t>Case Studies and Empirical Evidence</w:t>
      </w:r>
    </w:p>
    <w:p w14:paraId="4086874B" w14:textId="711747D7" w:rsidR="001F3227" w:rsidRPr="000411D4" w:rsidRDefault="001F3227" w:rsidP="003738C8">
      <w:pPr>
        <w:jc w:val="both"/>
        <w:rPr>
          <w:rFonts w:ascii="Times New Roman" w:hAnsi="Times New Roman" w:cs="Times New Roman"/>
        </w:rPr>
      </w:pPr>
      <w:r w:rsidRPr="000411D4">
        <w:rPr>
          <w:rFonts w:ascii="Times New Roman" w:hAnsi="Times New Roman" w:cs="Times New Roman"/>
        </w:rPr>
        <w:t xml:space="preserve">Several case studies have provided valuable insights into the dynamics of fiscal autonomy. For example, a study by the World Bank (2014) on municipal finances in South Asia highlighted the challenges faced by local governments in achieving fiscal autonomy. The study found that while own revenue generation had increased in some municipalities, it remained insufficient to meet growing expenditure needs. The report recommended a combination of policy reforms, including strengthening tax administration, enhancing revenue diversification, and improving expenditure management. In India, the experience of cities like Bengaluru and Pune offers important lessons. Ranganathan (2015) analyzed the fiscal performance of the Bengaluru Municipal Corporation, noting that its reliance on grants had declined over time due to improved tax collection and revenue diversification. Similarly, a study by the Indian Institute for Human </w:t>
      </w:r>
      <w:proofErr w:type="gramStart"/>
      <w:r w:rsidRPr="000411D4">
        <w:rPr>
          <w:rFonts w:ascii="Times New Roman" w:hAnsi="Times New Roman" w:cs="Times New Roman"/>
        </w:rPr>
        <w:t>Settlements  (</w:t>
      </w:r>
      <w:proofErr w:type="gramEnd"/>
      <w:r w:rsidRPr="000411D4">
        <w:rPr>
          <w:rFonts w:ascii="Times New Roman" w:hAnsi="Times New Roman" w:cs="Times New Roman"/>
        </w:rPr>
        <w:t xml:space="preserve">2017)  on  Pune  Municipal  Corporation highlighted the role of public private partnerships in enhancing  fiscal  autonomy.  </w:t>
      </w:r>
      <w:proofErr w:type="gramStart"/>
      <w:r w:rsidRPr="000411D4">
        <w:rPr>
          <w:rFonts w:ascii="Times New Roman" w:hAnsi="Times New Roman" w:cs="Times New Roman"/>
        </w:rPr>
        <w:t>The  study</w:t>
      </w:r>
      <w:proofErr w:type="gramEnd"/>
      <w:r w:rsidRPr="000411D4">
        <w:rPr>
          <w:rFonts w:ascii="Times New Roman" w:hAnsi="Times New Roman" w:cs="Times New Roman"/>
        </w:rPr>
        <w:t xml:space="preserve">  found  that partnerships with private sector entities had enabled the corporation to undertake large scale infrastructure projects without over reliance on grants.</w:t>
      </w:r>
    </w:p>
    <w:p w14:paraId="3840D1CA" w14:textId="5DA07E39" w:rsidR="001F3227" w:rsidRPr="000411D4" w:rsidRDefault="001F3227" w:rsidP="003738C8">
      <w:pPr>
        <w:jc w:val="both"/>
        <w:rPr>
          <w:rFonts w:ascii="Times New Roman" w:hAnsi="Times New Roman" w:cs="Times New Roman"/>
          <w:b/>
          <w:bCs/>
        </w:rPr>
      </w:pPr>
      <w:r w:rsidRPr="000411D4">
        <w:rPr>
          <w:rFonts w:ascii="Times New Roman" w:hAnsi="Times New Roman" w:cs="Times New Roman"/>
          <w:b/>
          <w:bCs/>
        </w:rPr>
        <w:t>Policy Recommendations</w:t>
      </w:r>
    </w:p>
    <w:p w14:paraId="2F59E5A8" w14:textId="77777777" w:rsidR="008C7F3A" w:rsidRPr="000411D4" w:rsidRDefault="001F3227" w:rsidP="003738C8">
      <w:pPr>
        <w:jc w:val="both"/>
        <w:rPr>
          <w:rFonts w:ascii="Times New Roman" w:hAnsi="Times New Roman" w:cs="Times New Roman"/>
        </w:rPr>
      </w:pPr>
      <w:r w:rsidRPr="000411D4">
        <w:rPr>
          <w:rFonts w:ascii="Times New Roman" w:hAnsi="Times New Roman" w:cs="Times New Roman"/>
        </w:rPr>
        <w:t xml:space="preserve">The literature has several policy suggestions on how fiscal autonomy can be enhanced. Rao and Bird (2010) urged the tightening of local tax administration, but notably property tax collection. They advised the application of contemporary methods for valuation, effective enforcement structures, and civic publicity to enforce more compliance. </w:t>
      </w:r>
    </w:p>
    <w:p w14:paraId="59CB5B93" w14:textId="69850691" w:rsidR="008C7F3A" w:rsidRPr="000411D4" w:rsidRDefault="001F3227" w:rsidP="003738C8">
      <w:pPr>
        <w:jc w:val="both"/>
        <w:rPr>
          <w:rFonts w:ascii="Times New Roman" w:hAnsi="Times New Roman" w:cs="Times New Roman"/>
        </w:rPr>
      </w:pPr>
      <w:r w:rsidRPr="000411D4">
        <w:rPr>
          <w:rFonts w:ascii="Times New Roman" w:hAnsi="Times New Roman" w:cs="Times New Roman"/>
        </w:rPr>
        <w:t xml:space="preserve">Mohanty et al. (2007) suggested the diversification of revenues, in which municipalities test innovative revenue alternatives including congestion charging, tourism charges, and environment taxes. They also pointed to the potential of public private partnerships </w:t>
      </w:r>
      <w:r w:rsidRPr="000411D4">
        <w:rPr>
          <w:rFonts w:ascii="Times New Roman" w:hAnsi="Times New Roman" w:cs="Times New Roman"/>
        </w:rPr>
        <w:t>in mobilizing resources for infrastructure development.</w:t>
      </w:r>
    </w:p>
    <w:p w14:paraId="29BD003C" w14:textId="643B80DC" w:rsidR="001F3227" w:rsidRPr="000411D4" w:rsidRDefault="001F3227" w:rsidP="003738C8">
      <w:pPr>
        <w:jc w:val="both"/>
        <w:rPr>
          <w:rFonts w:ascii="Times New Roman" w:hAnsi="Times New Roman" w:cs="Times New Roman"/>
        </w:rPr>
      </w:pPr>
      <w:r w:rsidRPr="000411D4">
        <w:rPr>
          <w:rFonts w:ascii="Times New Roman" w:hAnsi="Times New Roman" w:cs="Times New Roman"/>
        </w:rPr>
        <w:t>Ahluwalia (2019) emphasized the need for capacity building, asserting that municipal employees must be trained in financial management, project planning, and monitoring. She also suggested the utilization of technology to enhance efficiency in revenue collection and expenditure management.</w:t>
      </w:r>
    </w:p>
    <w:p w14:paraId="0E3274D0" w14:textId="37B643AE" w:rsidR="008B68CF" w:rsidRPr="000411D4" w:rsidRDefault="001F3227" w:rsidP="003738C8">
      <w:pPr>
        <w:jc w:val="both"/>
        <w:rPr>
          <w:rFonts w:ascii="Times New Roman" w:hAnsi="Times New Roman" w:cs="Times New Roman"/>
        </w:rPr>
      </w:pPr>
      <w:r w:rsidRPr="000411D4">
        <w:rPr>
          <w:rFonts w:ascii="Times New Roman" w:hAnsi="Times New Roman" w:cs="Times New Roman"/>
        </w:rPr>
        <w:t xml:space="preserve">The existing literature on </w:t>
      </w:r>
      <w:proofErr w:type="gramStart"/>
      <w:r w:rsidRPr="000411D4">
        <w:rPr>
          <w:rFonts w:ascii="Times New Roman" w:hAnsi="Times New Roman" w:cs="Times New Roman"/>
        </w:rPr>
        <w:t>fiscal ”autonomy</w:t>
      </w:r>
      <w:proofErr w:type="gramEnd"/>
      <w:r w:rsidRPr="000411D4">
        <w:rPr>
          <w:rFonts w:ascii="Times New Roman" w:hAnsi="Times New Roman" w:cs="Times New Roman"/>
        </w:rPr>
        <w:t xml:space="preserve"> highlights Its imperative for sound local government and sustainable urbanization. Although the determinants and challenges of fiscal autonomy have been reasonably well understood, additional context-specific research is called for in fast-growing urban areas such as India. This research intends to add to the literature by presenting a critical analysis of the fiscal autonomy of the Prayagraj Municipal Corporation with findings that will be of great importance to policymakers and city planners.</w:t>
      </w:r>
    </w:p>
    <w:p w14:paraId="3416A022" w14:textId="61089E03" w:rsidR="00A67B8D" w:rsidRPr="000411D4" w:rsidRDefault="00A67B8D" w:rsidP="003738C8">
      <w:pPr>
        <w:jc w:val="both"/>
        <w:rPr>
          <w:rFonts w:ascii="Times New Roman" w:hAnsi="Times New Roman" w:cs="Times New Roman"/>
          <w:b/>
          <w:bCs/>
        </w:rPr>
      </w:pPr>
      <w:r w:rsidRPr="000411D4">
        <w:rPr>
          <w:rFonts w:ascii="Times New Roman" w:hAnsi="Times New Roman" w:cs="Times New Roman"/>
          <w:b/>
          <w:bCs/>
        </w:rPr>
        <w:t>III. D</w:t>
      </w:r>
      <w:r w:rsidR="003738C8" w:rsidRPr="000411D4">
        <w:rPr>
          <w:rFonts w:ascii="Times New Roman" w:hAnsi="Times New Roman" w:cs="Times New Roman"/>
          <w:b/>
          <w:bCs/>
        </w:rPr>
        <w:t>ATA DESCRIPTION</w:t>
      </w:r>
    </w:p>
    <w:p w14:paraId="6309F99D" w14:textId="77777777" w:rsidR="00A67B8D" w:rsidRPr="000411D4" w:rsidRDefault="00A67B8D" w:rsidP="003738C8">
      <w:pPr>
        <w:jc w:val="both"/>
        <w:rPr>
          <w:rFonts w:ascii="Times New Roman" w:hAnsi="Times New Roman" w:cs="Times New Roman"/>
        </w:rPr>
      </w:pPr>
      <w:r w:rsidRPr="000411D4">
        <w:rPr>
          <w:rFonts w:ascii="Times New Roman" w:hAnsi="Times New Roman" w:cs="Times New Roman"/>
        </w:rPr>
        <w:t xml:space="preserve">This study analyzes the fiscal performance of the Prayagraj Municipal Corporation over a </w:t>
      </w:r>
      <w:proofErr w:type="gramStart"/>
      <w:r w:rsidRPr="000411D4">
        <w:rPr>
          <w:rFonts w:ascii="Times New Roman" w:hAnsi="Times New Roman" w:cs="Times New Roman"/>
        </w:rPr>
        <w:t>four year</w:t>
      </w:r>
      <w:proofErr w:type="gramEnd"/>
      <w:r w:rsidRPr="000411D4">
        <w:rPr>
          <w:rFonts w:ascii="Times New Roman" w:hAnsi="Times New Roman" w:cs="Times New Roman"/>
        </w:rPr>
        <w:t xml:space="preserve"> period, from 2019–20 to 2022–23. The data used in this research is secondary, sourced from the official financial reports and budget documents of the Prayagraj Municipal Corporation. The dataset includes detailed information on income, expenditure, and key financial metrics, providing a comprehensive overview of the corporation’s fiscal health. The primary variables analyzed in this study are:</w:t>
      </w:r>
    </w:p>
    <w:p w14:paraId="34321C0D" w14:textId="5F76BEEF" w:rsidR="00A67B8D" w:rsidRPr="000411D4" w:rsidRDefault="00A67B8D"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t xml:space="preserve">Total Income: Represents the total revenue generated by the corporation, including own revenue and grants received. </w:t>
      </w:r>
    </w:p>
    <w:p w14:paraId="1D1CDE05" w14:textId="3444E833" w:rsidR="00A37BEE" w:rsidRPr="000411D4" w:rsidRDefault="00A67B8D" w:rsidP="000411D4">
      <w:pPr>
        <w:pStyle w:val="ListParagraph"/>
        <w:numPr>
          <w:ilvl w:val="0"/>
          <w:numId w:val="2"/>
        </w:numPr>
        <w:jc w:val="both"/>
        <w:rPr>
          <w:rFonts w:ascii="Times New Roman" w:hAnsi="Times New Roman" w:cs="Times New Roman"/>
        </w:rPr>
      </w:pPr>
      <w:r w:rsidRPr="000411D4">
        <w:rPr>
          <w:rFonts w:ascii="Times New Roman" w:hAnsi="Times New Roman" w:cs="Times New Roman"/>
        </w:rPr>
        <w:t>Total Expenditure: Reflects the total amount spent by the corporation on various activities, including establishment expenses, administrative expenses, and capital expenditure.</w:t>
      </w:r>
    </w:p>
    <w:p w14:paraId="53756C5E" w14:textId="234718DE" w:rsidR="00A67B8D" w:rsidRPr="000411D4" w:rsidRDefault="00A67B8D"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t>Surplus/Deficit: Indicates the difference between total income and total expenditure, highlighting the corporation’s financial surplus or deficit.</w:t>
      </w:r>
    </w:p>
    <w:p w14:paraId="4373EBC4" w14:textId="1491900A" w:rsidR="00A67B8D" w:rsidRPr="000411D4" w:rsidRDefault="00A67B8D"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lastRenderedPageBreak/>
        <w:t>Own Revenue: Comprises revenue generated through local sources such as taxes, fees, and user charges.</w:t>
      </w:r>
    </w:p>
    <w:p w14:paraId="1DF328F2" w14:textId="59DC63F0" w:rsidR="00A67B8D" w:rsidRPr="000411D4" w:rsidRDefault="00A67B8D"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t>Grants Received: Includes funds received from state and central governments in the form of grants, contributions, and subsidies.</w:t>
      </w:r>
    </w:p>
    <w:p w14:paraId="2352165C" w14:textId="68D358E6" w:rsidR="00A67B8D" w:rsidRPr="000411D4" w:rsidRDefault="005C272F"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t xml:space="preserve">Self-Dependency </w:t>
      </w:r>
      <w:r w:rsidR="00A67B8D" w:rsidRPr="000411D4">
        <w:rPr>
          <w:rFonts w:ascii="Times New Roman" w:hAnsi="Times New Roman" w:cs="Times New Roman"/>
        </w:rPr>
        <w:t>Ratio (SDR): Measures the proportion of own revenue to total income, indicating the corporation’s ability to generate revenue independently.</w:t>
      </w:r>
    </w:p>
    <w:p w14:paraId="02F9622D" w14:textId="2C39F5DB" w:rsidR="00701CD4" w:rsidRPr="000411D4" w:rsidRDefault="00A67B8D"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t>Grants Dependency Ratio (GDR): Represents the proportion of grants to total income, reflecting the corporation’s reliance on external funding.</w:t>
      </w:r>
    </w:p>
    <w:p w14:paraId="26349BC7" w14:textId="37C92E3C" w:rsidR="00FC63AD" w:rsidRPr="000411D4" w:rsidRDefault="00FC63AD"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t>Capital Expenditure: Refers to funds spent on acquiring, upgrading, or maintaining physical assets such as infrastructure and property.</w:t>
      </w:r>
    </w:p>
    <w:p w14:paraId="4C343FA1" w14:textId="408D3582" w:rsidR="00FC63AD" w:rsidRPr="000411D4" w:rsidRDefault="00FC63AD" w:rsidP="003738C8">
      <w:pPr>
        <w:pStyle w:val="ListParagraph"/>
        <w:numPr>
          <w:ilvl w:val="0"/>
          <w:numId w:val="2"/>
        </w:numPr>
        <w:jc w:val="both"/>
        <w:rPr>
          <w:rFonts w:ascii="Times New Roman" w:hAnsi="Times New Roman" w:cs="Times New Roman"/>
        </w:rPr>
      </w:pPr>
      <w:r w:rsidRPr="000411D4">
        <w:rPr>
          <w:rFonts w:ascii="Times New Roman" w:hAnsi="Times New Roman" w:cs="Times New Roman"/>
        </w:rPr>
        <w:t>Expenditure Efficiency Ratio (EER): Measures the proportion of capital expenditure to total expenditure, indicating the efficiency of resource allocation.</w:t>
      </w:r>
    </w:p>
    <w:p w14:paraId="47376048" w14:textId="77777777" w:rsidR="00B76D09" w:rsidRPr="000411D4" w:rsidRDefault="00B76D09" w:rsidP="003738C8">
      <w:pPr>
        <w:jc w:val="both"/>
        <w:rPr>
          <w:rFonts w:ascii="Times New Roman" w:hAnsi="Times New Roman" w:cs="Times New Roman"/>
          <w:b/>
          <w:bCs/>
        </w:rPr>
      </w:pPr>
      <w:r w:rsidRPr="000411D4">
        <w:rPr>
          <w:rFonts w:ascii="Times New Roman" w:hAnsi="Times New Roman" w:cs="Times New Roman"/>
          <w:b/>
          <w:bCs/>
        </w:rPr>
        <w:t>IV. METHODOLOGY</w:t>
      </w:r>
    </w:p>
    <w:p w14:paraId="32757CCE" w14:textId="77777777" w:rsidR="00B76D09" w:rsidRPr="000411D4" w:rsidRDefault="00B76D09" w:rsidP="003738C8">
      <w:pPr>
        <w:jc w:val="both"/>
        <w:rPr>
          <w:rFonts w:ascii="Times New Roman" w:hAnsi="Times New Roman" w:cs="Times New Roman"/>
        </w:rPr>
      </w:pPr>
      <w:r w:rsidRPr="000411D4">
        <w:rPr>
          <w:rFonts w:ascii="Times New Roman" w:hAnsi="Times New Roman" w:cs="Times New Roman"/>
        </w:rPr>
        <w:t xml:space="preserve"> The study employs a mixed method approach, combining descriptive analysis and financial ratio analysis to evaluate the fiscal performance of the Prayagraj Municipal Corporation. The methodology is structured as follows: </w:t>
      </w:r>
    </w:p>
    <w:p w14:paraId="6041ABB9" w14:textId="618DB2EE" w:rsidR="00B76D09" w:rsidRPr="000411D4" w:rsidRDefault="00B76D09" w:rsidP="000411D4">
      <w:pPr>
        <w:pStyle w:val="ListParagraph"/>
        <w:numPr>
          <w:ilvl w:val="0"/>
          <w:numId w:val="4"/>
        </w:numPr>
        <w:jc w:val="both"/>
        <w:rPr>
          <w:rFonts w:ascii="Times New Roman" w:hAnsi="Times New Roman" w:cs="Times New Roman"/>
        </w:rPr>
      </w:pPr>
      <w:r w:rsidRPr="000411D4">
        <w:rPr>
          <w:rFonts w:ascii="Times New Roman" w:hAnsi="Times New Roman" w:cs="Times New Roman"/>
          <w:i/>
          <w:iCs/>
          <w:u w:val="single"/>
        </w:rPr>
        <w:t xml:space="preserve">Descriptive Analysis: </w:t>
      </w:r>
      <w:r w:rsidRPr="000411D4">
        <w:rPr>
          <w:rFonts w:ascii="Times New Roman" w:hAnsi="Times New Roman" w:cs="Times New Roman"/>
        </w:rPr>
        <w:t xml:space="preserve">The study begins with a descriptive analysis of the corporation’s income and expenditure patterns over the </w:t>
      </w:r>
      <w:proofErr w:type="gramStart"/>
      <w:r w:rsidRPr="000411D4">
        <w:rPr>
          <w:rFonts w:ascii="Times New Roman" w:hAnsi="Times New Roman" w:cs="Times New Roman"/>
        </w:rPr>
        <w:t>four year</w:t>
      </w:r>
      <w:proofErr w:type="gramEnd"/>
      <w:r w:rsidRPr="000411D4">
        <w:rPr>
          <w:rFonts w:ascii="Times New Roman" w:hAnsi="Times New Roman" w:cs="Times New Roman"/>
        </w:rPr>
        <w:t xml:space="preserve"> period. This includes an examination of trends in </w:t>
      </w:r>
      <w:r w:rsidRPr="000411D4">
        <w:rPr>
          <w:rFonts w:ascii="Times New Roman" w:hAnsi="Times New Roman" w:cs="Times New Roman"/>
        </w:rPr>
        <w:t xml:space="preserve">total income, total expenditure, and surplus/deficit. The analysis also explores the composition of income, focusing on the proportion of own revenue and grants received. </w:t>
      </w:r>
    </w:p>
    <w:p w14:paraId="5265BD96" w14:textId="5ED7A250" w:rsidR="00B76D09" w:rsidRPr="000411D4" w:rsidRDefault="00B76D09" w:rsidP="000411D4">
      <w:pPr>
        <w:pStyle w:val="ListParagraph"/>
        <w:numPr>
          <w:ilvl w:val="0"/>
          <w:numId w:val="4"/>
        </w:numPr>
        <w:jc w:val="both"/>
        <w:rPr>
          <w:rFonts w:ascii="Times New Roman" w:hAnsi="Times New Roman" w:cs="Times New Roman"/>
        </w:rPr>
      </w:pPr>
      <w:r w:rsidRPr="000411D4">
        <w:rPr>
          <w:rFonts w:ascii="Times New Roman" w:hAnsi="Times New Roman" w:cs="Times New Roman"/>
          <w:i/>
          <w:iCs/>
          <w:u w:val="single"/>
        </w:rPr>
        <w:t>Ratio Analysis:</w:t>
      </w:r>
      <w:r w:rsidRPr="000411D4">
        <w:rPr>
          <w:rFonts w:ascii="Times New Roman" w:hAnsi="Times New Roman" w:cs="Times New Roman"/>
          <w:u w:val="single"/>
        </w:rPr>
        <w:t xml:space="preserve"> Sel</w:t>
      </w:r>
      <w:r w:rsidRPr="000411D4">
        <w:rPr>
          <w:rFonts w:ascii="Times New Roman" w:hAnsi="Times New Roman" w:cs="Times New Roman"/>
        </w:rPr>
        <w:t>f-Dependency Ratio (SDR): Calculated as (Own Revenue / Total Income) × 100, this ratio measures the corporation’s ability to generate revenue independently. Grants Dependency Ratio (GDR): Calculated as (Grants Received / Total Income) × 100, this ratio reflects the corporation’s reliance on external funding. Expenditure Efficiency Ratio (EER): Calculated as (Capital Expenditure / Total Expenditure) × 100, this ratio assesses the efficiency of resource allocation, particularly in capital projects.</w:t>
      </w:r>
    </w:p>
    <w:p w14:paraId="2426F41E" w14:textId="2AC1C104" w:rsidR="00B76D09" w:rsidRPr="000411D4" w:rsidRDefault="00B76D09" w:rsidP="000411D4">
      <w:pPr>
        <w:pStyle w:val="ListParagraph"/>
        <w:numPr>
          <w:ilvl w:val="0"/>
          <w:numId w:val="4"/>
        </w:numPr>
        <w:jc w:val="both"/>
        <w:rPr>
          <w:rFonts w:ascii="Times New Roman" w:hAnsi="Times New Roman" w:cs="Times New Roman"/>
        </w:rPr>
      </w:pPr>
      <w:r w:rsidRPr="000411D4">
        <w:rPr>
          <w:rFonts w:ascii="Times New Roman" w:hAnsi="Times New Roman" w:cs="Times New Roman"/>
          <w:i/>
          <w:iCs/>
          <w:u w:val="single"/>
        </w:rPr>
        <w:t>Trend Analysis:</w:t>
      </w:r>
      <w:r w:rsidRPr="000411D4">
        <w:rPr>
          <w:rFonts w:ascii="Times New Roman" w:hAnsi="Times New Roman" w:cs="Times New Roman"/>
        </w:rPr>
        <w:t xml:space="preserve"> The study examines trends in key financial metrics, including SDR, GDR, and EER, to identify patterns and changes over time. The analysis highlights fluctuations in fiscal performance, providing insights into the corporation’s financial resilience and operational efficiency.</w:t>
      </w:r>
    </w:p>
    <w:p w14:paraId="43B0221B" w14:textId="05E4B5E3" w:rsidR="00BA0DA5" w:rsidRPr="000411D4" w:rsidRDefault="00B76D09" w:rsidP="000411D4">
      <w:pPr>
        <w:pStyle w:val="ListParagraph"/>
        <w:numPr>
          <w:ilvl w:val="0"/>
          <w:numId w:val="4"/>
        </w:numPr>
        <w:jc w:val="both"/>
        <w:rPr>
          <w:rFonts w:ascii="Times New Roman" w:hAnsi="Times New Roman" w:cs="Times New Roman"/>
        </w:rPr>
      </w:pPr>
      <w:r w:rsidRPr="000411D4">
        <w:rPr>
          <w:rFonts w:ascii="Times New Roman" w:hAnsi="Times New Roman" w:cs="Times New Roman"/>
          <w:i/>
          <w:iCs/>
          <w:u w:val="single"/>
        </w:rPr>
        <w:t>Comparative Analysis:</w:t>
      </w:r>
      <w:r w:rsidRPr="000411D4">
        <w:rPr>
          <w:rFonts w:ascii="Times New Roman" w:hAnsi="Times New Roman" w:cs="Times New Roman"/>
        </w:rPr>
        <w:t xml:space="preserve"> The study compares the fiscal performance of the Prayagraj Municipal</w:t>
      </w:r>
    </w:p>
    <w:p w14:paraId="659A5BAE" w14:textId="77777777" w:rsidR="009E1926" w:rsidRPr="000411D4" w:rsidRDefault="00B76D09" w:rsidP="000411D4">
      <w:pPr>
        <w:pStyle w:val="ListParagraph"/>
        <w:numPr>
          <w:ilvl w:val="0"/>
          <w:numId w:val="3"/>
        </w:numPr>
        <w:jc w:val="both"/>
        <w:rPr>
          <w:rFonts w:ascii="Times New Roman" w:hAnsi="Times New Roman" w:cs="Times New Roman"/>
        </w:rPr>
      </w:pPr>
      <w:r w:rsidRPr="000411D4">
        <w:rPr>
          <w:rFonts w:ascii="Times New Roman" w:hAnsi="Times New Roman" w:cs="Times New Roman"/>
        </w:rPr>
        <w:t>Corporation with broader trends in municipal finance, drawing on existing literature and case studies.</w:t>
      </w:r>
    </w:p>
    <w:p w14:paraId="0AE7F8D1" w14:textId="77777777" w:rsidR="008C3B0E" w:rsidRPr="000411D4" w:rsidRDefault="008C3B0E" w:rsidP="003738C8">
      <w:pPr>
        <w:pStyle w:val="ListParagraph"/>
        <w:ind w:left="406"/>
        <w:jc w:val="both"/>
        <w:rPr>
          <w:rFonts w:ascii="Times New Roman" w:hAnsi="Times New Roman" w:cs="Times New Roman"/>
        </w:rPr>
      </w:pPr>
    </w:p>
    <w:p w14:paraId="5C81A88C" w14:textId="51B43F29" w:rsidR="00FC63AD" w:rsidRPr="000411D4" w:rsidRDefault="00B76D09" w:rsidP="003738C8">
      <w:pPr>
        <w:pStyle w:val="ListParagraph"/>
        <w:ind w:left="406"/>
        <w:jc w:val="both"/>
        <w:rPr>
          <w:rFonts w:ascii="Times New Roman" w:hAnsi="Times New Roman" w:cs="Times New Roman"/>
        </w:rPr>
      </w:pPr>
      <w:r w:rsidRPr="000411D4">
        <w:rPr>
          <w:rFonts w:ascii="Times New Roman" w:hAnsi="Times New Roman" w:cs="Times New Roman"/>
        </w:rPr>
        <w:t xml:space="preserve"> This comparative analysis helps contextualize the findings and identify best practices for enhancing fiscal autonomy.</w:t>
      </w:r>
    </w:p>
    <w:p w14:paraId="3449CACC" w14:textId="77777777" w:rsidR="000411D4" w:rsidRPr="000411D4" w:rsidRDefault="000411D4" w:rsidP="000411D4">
      <w:pPr>
        <w:jc w:val="both"/>
        <w:rPr>
          <w:rFonts w:ascii="Times New Roman" w:hAnsi="Times New Roman" w:cs="Times New Roman"/>
        </w:rPr>
        <w:sectPr w:rsidR="000411D4" w:rsidRPr="000411D4" w:rsidSect="003738C8">
          <w:type w:val="continuous"/>
          <w:pgSz w:w="12240" w:h="15840"/>
          <w:pgMar w:top="720" w:right="720" w:bottom="720" w:left="720" w:header="708" w:footer="708" w:gutter="0"/>
          <w:cols w:num="2" w:space="708"/>
          <w:docGrid w:linePitch="360"/>
        </w:sectPr>
      </w:pPr>
    </w:p>
    <w:p w14:paraId="697FCDAD" w14:textId="77777777" w:rsidR="000411D4" w:rsidRPr="000411D4" w:rsidRDefault="000411D4" w:rsidP="000411D4">
      <w:pPr>
        <w:rPr>
          <w:rFonts w:ascii="Times New Roman" w:hAnsi="Times New Roman" w:cs="Times New Roman"/>
          <w:b/>
          <w:bCs/>
        </w:rPr>
      </w:pPr>
    </w:p>
    <w:p w14:paraId="469FC350" w14:textId="1D41344A" w:rsidR="000411D4" w:rsidRDefault="000411D4" w:rsidP="000411D4">
      <w:pPr>
        <w:pStyle w:val="ListParagraph"/>
        <w:jc w:val="center"/>
        <w:rPr>
          <w:rFonts w:ascii="Times New Roman" w:hAnsi="Times New Roman" w:cs="Times New Roman"/>
          <w:b/>
          <w:bCs/>
        </w:rPr>
      </w:pPr>
      <w:r w:rsidRPr="000411D4">
        <w:rPr>
          <w:rFonts w:ascii="Times New Roman" w:hAnsi="Times New Roman" w:cs="Times New Roman"/>
          <w:b/>
          <w:bCs/>
        </w:rPr>
        <w:t>Table 1: Annual Estimates for Prayagraj Municipal Corporation (In ₹)</w:t>
      </w:r>
    </w:p>
    <w:p w14:paraId="715088A4" w14:textId="77777777" w:rsidR="000411D4" w:rsidRPr="000411D4" w:rsidRDefault="000411D4" w:rsidP="000411D4">
      <w:pPr>
        <w:pStyle w:val="ListParagraph"/>
        <w:jc w:val="center"/>
        <w:rPr>
          <w:rFonts w:ascii="Times New Roman" w:hAnsi="Times New Roman" w:cs="Times New Roman"/>
          <w:b/>
          <w:bCs/>
        </w:rPr>
      </w:pPr>
    </w:p>
    <w:tbl>
      <w:tblPr>
        <w:tblStyle w:val="TableGridLight"/>
        <w:tblW w:w="10432" w:type="dxa"/>
        <w:tblLook w:val="04A0" w:firstRow="1" w:lastRow="0" w:firstColumn="1" w:lastColumn="0" w:noHBand="0" w:noVBand="1"/>
      </w:tblPr>
      <w:tblGrid>
        <w:gridCol w:w="2268"/>
        <w:gridCol w:w="2073"/>
        <w:gridCol w:w="2073"/>
        <w:gridCol w:w="2073"/>
        <w:gridCol w:w="2073"/>
      </w:tblGrid>
      <w:tr w:rsidR="000411D4" w:rsidRPr="000411D4" w14:paraId="5CE996F5" w14:textId="77777777" w:rsidTr="000411D4">
        <w:trPr>
          <w:trHeight w:val="227"/>
        </w:trPr>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14C008" w14:textId="469DD952" w:rsidR="000411D4" w:rsidRPr="000411D4" w:rsidRDefault="000411D4" w:rsidP="00FB2CC0">
            <w:pPr>
              <w:pStyle w:val="ListParagraph"/>
              <w:spacing w:after="160" w:line="278" w:lineRule="auto"/>
              <w:ind w:left="406"/>
              <w:jc w:val="both"/>
              <w:rPr>
                <w:rFonts w:ascii="Times New Roman" w:hAnsi="Times New Roman" w:cs="Times New Roman"/>
                <w:b/>
                <w:bCs/>
                <w:sz w:val="20"/>
                <w:szCs w:val="20"/>
              </w:rPr>
            </w:pPr>
            <w:r w:rsidRPr="000411D4">
              <w:rPr>
                <w:rFonts w:ascii="Times New Roman" w:hAnsi="Times New Roman" w:cs="Times New Roman"/>
                <w:b/>
                <w:bCs/>
                <w:sz w:val="20"/>
                <w:szCs w:val="20"/>
              </w:rPr>
              <w:t>Estimates</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7E94C" w14:textId="77777777" w:rsidR="000411D4" w:rsidRPr="000411D4" w:rsidRDefault="000411D4" w:rsidP="00FB2CC0">
            <w:pPr>
              <w:pStyle w:val="ListParagraph"/>
              <w:spacing w:after="160" w:line="278" w:lineRule="auto"/>
              <w:ind w:left="406"/>
              <w:jc w:val="both"/>
              <w:rPr>
                <w:rFonts w:ascii="Times New Roman" w:hAnsi="Times New Roman" w:cs="Times New Roman"/>
                <w:b/>
                <w:bCs/>
                <w:sz w:val="20"/>
                <w:szCs w:val="20"/>
              </w:rPr>
            </w:pPr>
            <w:r w:rsidRPr="000411D4">
              <w:rPr>
                <w:rFonts w:ascii="Times New Roman" w:hAnsi="Times New Roman" w:cs="Times New Roman"/>
                <w:b/>
                <w:bCs/>
                <w:sz w:val="20"/>
                <w:szCs w:val="20"/>
              </w:rPr>
              <w:t xml:space="preserve"> 2019-20</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5DBBC8" w14:textId="77777777" w:rsidR="000411D4" w:rsidRPr="000411D4" w:rsidRDefault="000411D4" w:rsidP="00FB2CC0">
            <w:pPr>
              <w:pStyle w:val="ListParagraph"/>
              <w:spacing w:after="160" w:line="278" w:lineRule="auto"/>
              <w:ind w:left="406"/>
              <w:jc w:val="both"/>
              <w:rPr>
                <w:rFonts w:ascii="Times New Roman" w:hAnsi="Times New Roman" w:cs="Times New Roman"/>
                <w:b/>
                <w:bCs/>
                <w:sz w:val="20"/>
                <w:szCs w:val="20"/>
              </w:rPr>
            </w:pPr>
            <w:r w:rsidRPr="000411D4">
              <w:rPr>
                <w:rFonts w:ascii="Times New Roman" w:hAnsi="Times New Roman" w:cs="Times New Roman"/>
                <w:b/>
                <w:bCs/>
                <w:sz w:val="20"/>
                <w:szCs w:val="20"/>
              </w:rPr>
              <w:t xml:space="preserve"> 2020-21</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F9EA2F" w14:textId="77777777" w:rsidR="000411D4" w:rsidRPr="000411D4" w:rsidRDefault="000411D4" w:rsidP="00FB2CC0">
            <w:pPr>
              <w:pStyle w:val="ListParagraph"/>
              <w:spacing w:after="160" w:line="278" w:lineRule="auto"/>
              <w:ind w:left="406"/>
              <w:jc w:val="both"/>
              <w:rPr>
                <w:rFonts w:ascii="Times New Roman" w:hAnsi="Times New Roman" w:cs="Times New Roman"/>
                <w:b/>
                <w:bCs/>
                <w:sz w:val="20"/>
                <w:szCs w:val="20"/>
              </w:rPr>
            </w:pPr>
            <w:r w:rsidRPr="000411D4">
              <w:rPr>
                <w:rFonts w:ascii="Times New Roman" w:hAnsi="Times New Roman" w:cs="Times New Roman"/>
                <w:b/>
                <w:bCs/>
                <w:sz w:val="20"/>
                <w:szCs w:val="20"/>
              </w:rPr>
              <w:t xml:space="preserve"> 2021-22</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99D0BC" w14:textId="77777777" w:rsidR="000411D4" w:rsidRPr="000411D4" w:rsidRDefault="000411D4" w:rsidP="00FB2CC0">
            <w:pPr>
              <w:pStyle w:val="ListParagraph"/>
              <w:spacing w:after="160" w:line="278" w:lineRule="auto"/>
              <w:ind w:left="406"/>
              <w:jc w:val="both"/>
              <w:rPr>
                <w:rFonts w:ascii="Times New Roman" w:hAnsi="Times New Roman" w:cs="Times New Roman"/>
                <w:b/>
                <w:bCs/>
                <w:sz w:val="20"/>
                <w:szCs w:val="20"/>
              </w:rPr>
            </w:pPr>
            <w:r w:rsidRPr="000411D4">
              <w:rPr>
                <w:rFonts w:ascii="Times New Roman" w:hAnsi="Times New Roman" w:cs="Times New Roman"/>
                <w:b/>
                <w:bCs/>
                <w:sz w:val="20"/>
                <w:szCs w:val="20"/>
              </w:rPr>
              <w:t xml:space="preserve"> 2022-23</w:t>
            </w:r>
          </w:p>
        </w:tc>
      </w:tr>
      <w:tr w:rsidR="000411D4" w:rsidRPr="000411D4" w14:paraId="36B2635D" w14:textId="77777777" w:rsidTr="000411D4">
        <w:trPr>
          <w:trHeight w:val="276"/>
        </w:trPr>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12CF8"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Total – INCOME</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6D227"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2,27,29,06,071.69</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8F484"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4,81,27,37,486.51</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93754"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6,11,84,63,764.86</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C8760"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7,12,83,08,271.55</w:t>
            </w:r>
          </w:p>
        </w:tc>
      </w:tr>
      <w:tr w:rsidR="000411D4" w:rsidRPr="000411D4" w14:paraId="515BBC68" w14:textId="77777777" w:rsidTr="000411D4">
        <w:trPr>
          <w:trHeight w:val="276"/>
        </w:trPr>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AB96E"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Total – EXPENDITURE</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89836"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2,26,62,68,438.25</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843526"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4,53,18,95,540.30</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7AB14"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6,01,99,38,454.41</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AE18D"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6,99,80,84,856.46</w:t>
            </w:r>
          </w:p>
        </w:tc>
      </w:tr>
      <w:tr w:rsidR="000411D4" w:rsidRPr="000411D4" w14:paraId="66588AC4" w14:textId="77777777" w:rsidTr="000411D4">
        <w:trPr>
          <w:trHeight w:val="276"/>
        </w:trPr>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7C7FC"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Surplus / deficit</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FDF19"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66,37,633.44</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E7FAC"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28,08,41,946.21</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4CF29"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9,85,25,310.45</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C4465"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13,02,23,415.09</w:t>
            </w:r>
          </w:p>
        </w:tc>
      </w:tr>
      <w:tr w:rsidR="000411D4" w:rsidRPr="000411D4" w14:paraId="714B48C6" w14:textId="77777777" w:rsidTr="000411D4">
        <w:trPr>
          <w:trHeight w:val="276"/>
        </w:trPr>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D06441"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Own revenue</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A316C2"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148474068.69</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AD0824"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93582148.42</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1E03B3"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2127681004.86</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80D3D5"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2424202125.05</w:t>
            </w:r>
          </w:p>
        </w:tc>
      </w:tr>
      <w:tr w:rsidR="000411D4" w:rsidRPr="000411D4" w14:paraId="7DCC3839" w14:textId="77777777" w:rsidTr="000411D4">
        <w:trPr>
          <w:trHeight w:val="276"/>
        </w:trPr>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33CF2F"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Grants Received</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A036A3"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1462865862.00</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35CC8BB"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4035151660.25</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98D8CA6"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3990782760.00</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596033"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4704106146.50</w:t>
            </w:r>
          </w:p>
        </w:tc>
      </w:tr>
      <w:tr w:rsidR="000411D4" w:rsidRPr="000411D4" w14:paraId="3EA9682D" w14:textId="77777777" w:rsidTr="000411D4">
        <w:trPr>
          <w:trHeight w:val="276"/>
        </w:trPr>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95EFA6"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Capital expenditure</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9178067"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318085790.9</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A5EC1A"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2054366340</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5F5E84"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3935565890</w:t>
            </w:r>
          </w:p>
        </w:tc>
        <w:tc>
          <w:tcPr>
            <w:tcW w:w="20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B9A2D9" w14:textId="77777777" w:rsidR="000411D4" w:rsidRPr="000411D4" w:rsidRDefault="000411D4" w:rsidP="00FB2CC0">
            <w:pPr>
              <w:pStyle w:val="ListParagraph"/>
              <w:spacing w:after="160" w:line="278" w:lineRule="auto"/>
              <w:ind w:left="406"/>
              <w:jc w:val="both"/>
              <w:rPr>
                <w:rFonts w:ascii="Times New Roman" w:hAnsi="Times New Roman" w:cs="Times New Roman"/>
                <w:sz w:val="20"/>
                <w:szCs w:val="20"/>
              </w:rPr>
            </w:pPr>
            <w:r w:rsidRPr="000411D4">
              <w:rPr>
                <w:rFonts w:ascii="Times New Roman" w:hAnsi="Times New Roman" w:cs="Times New Roman"/>
                <w:sz w:val="20"/>
                <w:szCs w:val="20"/>
              </w:rPr>
              <w:t>2829427215</w:t>
            </w:r>
          </w:p>
        </w:tc>
      </w:tr>
    </w:tbl>
    <w:p w14:paraId="040E5E3E" w14:textId="77777777" w:rsidR="000411D4" w:rsidRPr="000411D4" w:rsidRDefault="000411D4" w:rsidP="000411D4">
      <w:pPr>
        <w:pStyle w:val="ListParagraph"/>
        <w:ind w:left="406"/>
        <w:rPr>
          <w:rFonts w:ascii="Times New Roman" w:hAnsi="Times New Roman" w:cs="Times New Roman"/>
          <w:sz w:val="20"/>
          <w:szCs w:val="20"/>
        </w:rPr>
      </w:pPr>
    </w:p>
    <w:p w14:paraId="36422679" w14:textId="77777777" w:rsidR="000411D4" w:rsidRPr="000411D4" w:rsidRDefault="000411D4" w:rsidP="000411D4">
      <w:pPr>
        <w:pStyle w:val="ListParagraph"/>
        <w:ind w:left="406"/>
        <w:rPr>
          <w:rFonts w:ascii="Times New Roman" w:hAnsi="Times New Roman" w:cs="Times New Roman"/>
        </w:rPr>
      </w:pPr>
    </w:p>
    <w:p w14:paraId="22CAC168" w14:textId="77777777" w:rsidR="000411D4" w:rsidRPr="000411D4" w:rsidRDefault="000411D4" w:rsidP="000411D4">
      <w:pPr>
        <w:pStyle w:val="ListParagraph"/>
        <w:jc w:val="center"/>
        <w:rPr>
          <w:rFonts w:ascii="Times New Roman" w:hAnsi="Times New Roman" w:cs="Times New Roman"/>
          <w:sz w:val="28"/>
          <w:szCs w:val="28"/>
        </w:rPr>
      </w:pPr>
    </w:p>
    <w:p w14:paraId="4AF19C03" w14:textId="4B995955" w:rsidR="000411D4" w:rsidRPr="000411D4" w:rsidRDefault="000411D4" w:rsidP="000411D4">
      <w:pPr>
        <w:jc w:val="center"/>
        <w:rPr>
          <w:rFonts w:ascii="Times New Roman" w:hAnsi="Times New Roman" w:cs="Times New Roman"/>
          <w:b/>
          <w:bCs/>
          <w:sz w:val="28"/>
          <w:szCs w:val="28"/>
        </w:rPr>
      </w:pPr>
      <w:r w:rsidRPr="000411D4">
        <w:rPr>
          <w:rFonts w:ascii="Times New Roman" w:hAnsi="Times New Roman" w:cs="Times New Roman"/>
          <w:sz w:val="28"/>
          <w:szCs w:val="28"/>
        </w:rPr>
        <w:t>Ta</w:t>
      </w:r>
      <w:r w:rsidRPr="000411D4">
        <w:rPr>
          <w:rFonts w:ascii="Times New Roman" w:hAnsi="Times New Roman" w:cs="Times New Roman"/>
          <w:b/>
          <w:bCs/>
          <w:sz w:val="28"/>
          <w:szCs w:val="28"/>
        </w:rPr>
        <w:t>ble 2: Performance Metrices for Prayagraj Municipal Corporation (In %)</w:t>
      </w:r>
    </w:p>
    <w:p w14:paraId="045D71F0" w14:textId="77777777" w:rsidR="000411D4" w:rsidRPr="000411D4" w:rsidRDefault="000411D4" w:rsidP="000411D4">
      <w:pPr>
        <w:pStyle w:val="ListParagraph"/>
        <w:ind w:left="406"/>
        <w:rPr>
          <w:rFonts w:ascii="Times New Roman" w:hAnsi="Times New Roman" w:cs="Times New Roman"/>
          <w:sz w:val="20"/>
          <w:szCs w:val="20"/>
        </w:rPr>
      </w:pPr>
    </w:p>
    <w:tbl>
      <w:tblPr>
        <w:tblStyle w:val="TableGridLight"/>
        <w:tblW w:w="9158" w:type="dxa"/>
        <w:jc w:val="center"/>
        <w:tblLook w:val="04A0" w:firstRow="1" w:lastRow="0" w:firstColumn="1" w:lastColumn="0" w:noHBand="0" w:noVBand="1"/>
      </w:tblPr>
      <w:tblGrid>
        <w:gridCol w:w="3402"/>
        <w:gridCol w:w="1602"/>
        <w:gridCol w:w="1602"/>
        <w:gridCol w:w="1602"/>
        <w:gridCol w:w="1602"/>
      </w:tblGrid>
      <w:tr w:rsidR="000411D4" w:rsidRPr="000411D4" w14:paraId="0402C77F" w14:textId="77777777" w:rsidTr="000411D4">
        <w:trPr>
          <w:trHeight w:val="276"/>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6E464B" w14:textId="77777777" w:rsidR="000411D4" w:rsidRPr="000411D4" w:rsidRDefault="000411D4" w:rsidP="000411D4">
            <w:pPr>
              <w:pStyle w:val="ListParagraph"/>
              <w:spacing w:after="160" w:line="278" w:lineRule="auto"/>
              <w:ind w:left="406"/>
              <w:jc w:val="both"/>
              <w:rPr>
                <w:rFonts w:ascii="Times New Roman" w:hAnsi="Times New Roman" w:cs="Times New Roman"/>
                <w:b/>
                <w:bCs/>
                <w:sz w:val="20"/>
                <w:szCs w:val="20"/>
              </w:rPr>
            </w:pPr>
            <w:r w:rsidRPr="000411D4">
              <w:rPr>
                <w:rFonts w:ascii="Times New Roman" w:hAnsi="Times New Roman" w:cs="Times New Roman"/>
                <w:b/>
                <w:bCs/>
                <w:sz w:val="20"/>
                <w:szCs w:val="20"/>
              </w:rPr>
              <w:t> </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8B75DF" w14:textId="77777777" w:rsidR="000411D4" w:rsidRPr="000411D4" w:rsidRDefault="000411D4" w:rsidP="000411D4">
            <w:pPr>
              <w:pStyle w:val="ListParagraph"/>
              <w:spacing w:after="160" w:line="278" w:lineRule="auto"/>
              <w:ind w:left="406"/>
              <w:jc w:val="both"/>
              <w:rPr>
                <w:rFonts w:ascii="Times New Roman" w:hAnsi="Times New Roman" w:cs="Times New Roman"/>
                <w:b/>
                <w:bCs/>
              </w:rPr>
            </w:pPr>
            <w:r w:rsidRPr="000411D4">
              <w:rPr>
                <w:rFonts w:ascii="Times New Roman" w:hAnsi="Times New Roman" w:cs="Times New Roman"/>
                <w:b/>
                <w:bCs/>
              </w:rPr>
              <w:t xml:space="preserve"> 2019-20</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835E8EA" w14:textId="77777777" w:rsidR="000411D4" w:rsidRPr="000411D4" w:rsidRDefault="000411D4" w:rsidP="000411D4">
            <w:pPr>
              <w:pStyle w:val="ListParagraph"/>
              <w:spacing w:after="160" w:line="278" w:lineRule="auto"/>
              <w:ind w:left="406"/>
              <w:jc w:val="both"/>
              <w:rPr>
                <w:rFonts w:ascii="Times New Roman" w:hAnsi="Times New Roman" w:cs="Times New Roman"/>
                <w:b/>
                <w:bCs/>
              </w:rPr>
            </w:pPr>
            <w:r w:rsidRPr="000411D4">
              <w:rPr>
                <w:rFonts w:ascii="Times New Roman" w:hAnsi="Times New Roman" w:cs="Times New Roman"/>
                <w:b/>
                <w:bCs/>
              </w:rPr>
              <w:t xml:space="preserve"> 2020-21</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355158" w14:textId="77777777" w:rsidR="000411D4" w:rsidRPr="000411D4" w:rsidRDefault="000411D4" w:rsidP="000411D4">
            <w:pPr>
              <w:pStyle w:val="ListParagraph"/>
              <w:spacing w:after="160" w:line="278" w:lineRule="auto"/>
              <w:ind w:left="406"/>
              <w:jc w:val="both"/>
              <w:rPr>
                <w:rFonts w:ascii="Times New Roman" w:hAnsi="Times New Roman" w:cs="Times New Roman"/>
                <w:b/>
                <w:bCs/>
              </w:rPr>
            </w:pPr>
            <w:r w:rsidRPr="000411D4">
              <w:rPr>
                <w:rFonts w:ascii="Times New Roman" w:hAnsi="Times New Roman" w:cs="Times New Roman"/>
                <w:b/>
                <w:bCs/>
              </w:rPr>
              <w:t xml:space="preserve"> 2021-22</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7E6C04" w14:textId="77777777" w:rsidR="000411D4" w:rsidRPr="000411D4" w:rsidRDefault="000411D4" w:rsidP="000411D4">
            <w:pPr>
              <w:pStyle w:val="ListParagraph"/>
              <w:spacing w:after="160" w:line="278" w:lineRule="auto"/>
              <w:ind w:left="406"/>
              <w:jc w:val="both"/>
              <w:rPr>
                <w:rFonts w:ascii="Times New Roman" w:hAnsi="Times New Roman" w:cs="Times New Roman"/>
                <w:b/>
                <w:bCs/>
              </w:rPr>
            </w:pPr>
            <w:r w:rsidRPr="000411D4">
              <w:rPr>
                <w:rFonts w:ascii="Times New Roman" w:hAnsi="Times New Roman" w:cs="Times New Roman"/>
                <w:b/>
                <w:bCs/>
              </w:rPr>
              <w:t xml:space="preserve"> 2022-23</w:t>
            </w:r>
          </w:p>
        </w:tc>
      </w:tr>
      <w:tr w:rsidR="000411D4" w:rsidRPr="000411D4" w14:paraId="5FA88888" w14:textId="77777777" w:rsidTr="000411D4">
        <w:trPr>
          <w:trHeight w:val="276"/>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9AC1824" w14:textId="77777777" w:rsidR="000411D4" w:rsidRPr="000411D4" w:rsidRDefault="000411D4" w:rsidP="000411D4">
            <w:pPr>
              <w:pStyle w:val="ListParagraph"/>
              <w:spacing w:after="160" w:line="278" w:lineRule="auto"/>
              <w:ind w:left="406"/>
              <w:jc w:val="both"/>
              <w:rPr>
                <w:rFonts w:ascii="Times New Roman" w:hAnsi="Times New Roman" w:cs="Times New Roman"/>
                <w:sz w:val="22"/>
                <w:szCs w:val="22"/>
              </w:rPr>
            </w:pPr>
            <w:r w:rsidRPr="000411D4">
              <w:rPr>
                <w:rFonts w:ascii="Times New Roman" w:hAnsi="Times New Roman" w:cs="Times New Roman"/>
                <w:sz w:val="22"/>
                <w:szCs w:val="22"/>
              </w:rPr>
              <w:t>Self-Dependency Ratio</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272872"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6.5323%</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47718F"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1.9445%</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DC541D"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34.7748%</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93BC39"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34.0081%</w:t>
            </w:r>
          </w:p>
        </w:tc>
      </w:tr>
      <w:tr w:rsidR="000411D4" w:rsidRPr="000411D4" w14:paraId="1E313371" w14:textId="77777777" w:rsidTr="000411D4">
        <w:trPr>
          <w:trHeight w:val="276"/>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8AC197" w14:textId="77777777" w:rsidR="000411D4" w:rsidRPr="000411D4" w:rsidRDefault="000411D4" w:rsidP="000411D4">
            <w:pPr>
              <w:pStyle w:val="ListParagraph"/>
              <w:spacing w:after="160" w:line="278" w:lineRule="auto"/>
              <w:ind w:left="406"/>
              <w:jc w:val="both"/>
              <w:rPr>
                <w:rFonts w:ascii="Times New Roman" w:hAnsi="Times New Roman" w:cs="Times New Roman"/>
                <w:sz w:val="22"/>
                <w:szCs w:val="22"/>
              </w:rPr>
            </w:pPr>
            <w:r w:rsidRPr="000411D4">
              <w:rPr>
                <w:rFonts w:ascii="Times New Roman" w:hAnsi="Times New Roman" w:cs="Times New Roman"/>
                <w:sz w:val="22"/>
                <w:szCs w:val="22"/>
              </w:rPr>
              <w:t>Grants Dependency Ratio</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31A52E"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64.3610%</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09AC20F"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83.8432%</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C1385F4"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65.2252%</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406A693"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65.9919%</w:t>
            </w:r>
          </w:p>
        </w:tc>
      </w:tr>
      <w:tr w:rsidR="000411D4" w:rsidRPr="000411D4" w14:paraId="74C5EDD1" w14:textId="77777777" w:rsidTr="000411D4">
        <w:trPr>
          <w:trHeight w:val="58"/>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8F27F4" w14:textId="77777777" w:rsidR="000411D4" w:rsidRPr="000411D4" w:rsidRDefault="000411D4" w:rsidP="000411D4">
            <w:pPr>
              <w:pStyle w:val="ListParagraph"/>
              <w:spacing w:after="160" w:line="278" w:lineRule="auto"/>
              <w:ind w:left="406"/>
              <w:jc w:val="both"/>
              <w:rPr>
                <w:rFonts w:ascii="Times New Roman" w:hAnsi="Times New Roman" w:cs="Times New Roman"/>
                <w:sz w:val="22"/>
                <w:szCs w:val="22"/>
              </w:rPr>
            </w:pPr>
            <w:r w:rsidRPr="000411D4">
              <w:rPr>
                <w:rFonts w:ascii="Times New Roman" w:hAnsi="Times New Roman" w:cs="Times New Roman"/>
                <w:sz w:val="22"/>
                <w:szCs w:val="22"/>
              </w:rPr>
              <w:t>Expenditure efficiency Ratio</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FC946E"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14.0357%</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AD7232A"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45.3313%</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6CEEFA"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65.3755%</w:t>
            </w:r>
          </w:p>
        </w:tc>
        <w:tc>
          <w:tcPr>
            <w:tcW w:w="14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018DC3E" w14:textId="77777777" w:rsidR="000411D4" w:rsidRPr="000411D4" w:rsidRDefault="000411D4" w:rsidP="000411D4">
            <w:pPr>
              <w:pStyle w:val="ListParagraph"/>
              <w:spacing w:after="160" w:line="278" w:lineRule="auto"/>
              <w:ind w:left="406"/>
              <w:jc w:val="both"/>
              <w:rPr>
                <w:rFonts w:ascii="Times New Roman" w:hAnsi="Times New Roman" w:cs="Times New Roman"/>
              </w:rPr>
            </w:pPr>
            <w:r w:rsidRPr="000411D4">
              <w:rPr>
                <w:rFonts w:ascii="Times New Roman" w:hAnsi="Times New Roman" w:cs="Times New Roman"/>
              </w:rPr>
              <w:t>40.4315%</w:t>
            </w:r>
          </w:p>
        </w:tc>
      </w:tr>
    </w:tbl>
    <w:p w14:paraId="4C193B6F" w14:textId="77777777" w:rsidR="000411D4" w:rsidRPr="000411D4" w:rsidRDefault="000411D4" w:rsidP="000411D4">
      <w:pPr>
        <w:rPr>
          <w:rFonts w:ascii="Times New Roman" w:hAnsi="Times New Roman" w:cs="Times New Roman"/>
        </w:rPr>
      </w:pPr>
    </w:p>
    <w:p w14:paraId="7F0A017D" w14:textId="77777777" w:rsidR="000411D4" w:rsidRPr="000411D4" w:rsidRDefault="000411D4" w:rsidP="000411D4">
      <w:pPr>
        <w:pStyle w:val="ListParagraph"/>
        <w:ind w:left="406"/>
        <w:rPr>
          <w:rFonts w:ascii="Times New Roman" w:hAnsi="Times New Roman" w:cs="Times New Roman"/>
        </w:rPr>
      </w:pPr>
    </w:p>
    <w:p w14:paraId="0E0C302D" w14:textId="77777777" w:rsidR="000411D4" w:rsidRDefault="000411D4" w:rsidP="000411D4">
      <w:pPr>
        <w:pStyle w:val="ListParagraph"/>
        <w:ind w:left="406"/>
        <w:jc w:val="center"/>
        <w:rPr>
          <w:rFonts w:ascii="Times New Roman" w:hAnsi="Times New Roman" w:cs="Times New Roman"/>
          <w:b/>
          <w:bCs/>
        </w:rPr>
      </w:pPr>
    </w:p>
    <w:p w14:paraId="3DE81564" w14:textId="30642C81" w:rsidR="000411D4" w:rsidRPr="000411D4" w:rsidRDefault="000411D4" w:rsidP="000411D4">
      <w:pPr>
        <w:pStyle w:val="ListParagraph"/>
        <w:ind w:left="406"/>
        <w:jc w:val="center"/>
        <w:rPr>
          <w:rFonts w:ascii="Times New Roman" w:hAnsi="Times New Roman" w:cs="Times New Roman"/>
          <w:b/>
          <w:bCs/>
          <w:sz w:val="28"/>
          <w:szCs w:val="28"/>
        </w:rPr>
      </w:pPr>
      <w:r w:rsidRPr="000411D4">
        <w:rPr>
          <w:rFonts w:ascii="Times New Roman" w:hAnsi="Times New Roman" w:cs="Times New Roman"/>
          <w:b/>
          <w:bCs/>
          <w:sz w:val="28"/>
          <w:szCs w:val="28"/>
        </w:rPr>
        <w:t>Figure 1: Trends in Annual Estimates</w:t>
      </w:r>
    </w:p>
    <w:p w14:paraId="0B897646" w14:textId="036699FA" w:rsidR="000411D4" w:rsidRPr="000411D4" w:rsidRDefault="000411D4" w:rsidP="000411D4">
      <w:pPr>
        <w:pStyle w:val="ListParagraph"/>
        <w:ind w:left="406"/>
        <w:rPr>
          <w:rFonts w:ascii="Times New Roman" w:hAnsi="Times New Roman" w:cs="Times New Roman"/>
        </w:rPr>
      </w:pPr>
      <w:r w:rsidRPr="000411D4">
        <w:rPr>
          <w:rFonts w:ascii="Times New Roman" w:hAnsi="Times New Roman" w:cs="Times New Roman"/>
          <w:b/>
          <w:bCs/>
        </w:rPr>
        <w:drawing>
          <wp:anchor distT="0" distB="0" distL="114300" distR="114300" simplePos="0" relativeHeight="251659264" behindDoc="0" locked="0" layoutInCell="1" allowOverlap="1" wp14:anchorId="2C013D77" wp14:editId="142A2899">
            <wp:simplePos x="0" y="0"/>
            <wp:positionH relativeFrom="column">
              <wp:posOffset>541655</wp:posOffset>
            </wp:positionH>
            <wp:positionV relativeFrom="paragraph">
              <wp:posOffset>80645</wp:posOffset>
            </wp:positionV>
            <wp:extent cx="5989955" cy="3759200"/>
            <wp:effectExtent l="0" t="0" r="0" b="0"/>
            <wp:wrapSquare wrapText="bothSides"/>
            <wp:docPr id="833789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9955" cy="3759200"/>
                    </a:xfrm>
                    <a:prstGeom prst="rect">
                      <a:avLst/>
                    </a:prstGeom>
                    <a:noFill/>
                  </pic:spPr>
                </pic:pic>
              </a:graphicData>
            </a:graphic>
            <wp14:sizeRelH relativeFrom="page">
              <wp14:pctWidth>0</wp14:pctWidth>
            </wp14:sizeRelH>
            <wp14:sizeRelV relativeFrom="page">
              <wp14:pctHeight>0</wp14:pctHeight>
            </wp14:sizeRelV>
          </wp:anchor>
        </w:drawing>
      </w:r>
    </w:p>
    <w:p w14:paraId="338AFFD9" w14:textId="77777777" w:rsidR="000411D4" w:rsidRPr="000411D4" w:rsidRDefault="000411D4" w:rsidP="000411D4">
      <w:pPr>
        <w:pStyle w:val="ListParagraph"/>
        <w:ind w:left="406"/>
        <w:rPr>
          <w:rFonts w:ascii="Times New Roman" w:hAnsi="Times New Roman" w:cs="Times New Roman"/>
        </w:rPr>
      </w:pPr>
    </w:p>
    <w:p w14:paraId="7685E5F2" w14:textId="77777777" w:rsidR="000411D4" w:rsidRPr="000411D4" w:rsidRDefault="000411D4" w:rsidP="000411D4">
      <w:pPr>
        <w:pStyle w:val="ListParagraph"/>
        <w:ind w:left="406"/>
        <w:rPr>
          <w:rFonts w:ascii="Times New Roman" w:hAnsi="Times New Roman" w:cs="Times New Roman"/>
        </w:rPr>
      </w:pPr>
    </w:p>
    <w:p w14:paraId="09D36503" w14:textId="77777777" w:rsidR="000411D4" w:rsidRPr="000411D4" w:rsidRDefault="000411D4" w:rsidP="000411D4">
      <w:pPr>
        <w:pStyle w:val="ListParagraph"/>
        <w:ind w:left="406"/>
        <w:rPr>
          <w:rFonts w:ascii="Times New Roman" w:hAnsi="Times New Roman" w:cs="Times New Roman"/>
        </w:rPr>
      </w:pPr>
    </w:p>
    <w:p w14:paraId="0DD6CD61" w14:textId="77777777" w:rsidR="000411D4" w:rsidRPr="000411D4" w:rsidRDefault="000411D4" w:rsidP="000411D4">
      <w:pPr>
        <w:pStyle w:val="ListParagraph"/>
        <w:ind w:left="406"/>
        <w:rPr>
          <w:rFonts w:ascii="Times New Roman" w:hAnsi="Times New Roman" w:cs="Times New Roman"/>
        </w:rPr>
      </w:pPr>
    </w:p>
    <w:p w14:paraId="0491B8F1" w14:textId="77777777" w:rsidR="000411D4" w:rsidRPr="000411D4" w:rsidRDefault="000411D4" w:rsidP="000411D4">
      <w:pPr>
        <w:pStyle w:val="ListParagraph"/>
        <w:ind w:left="406"/>
        <w:rPr>
          <w:rFonts w:ascii="Times New Roman" w:hAnsi="Times New Roman" w:cs="Times New Roman"/>
        </w:rPr>
      </w:pPr>
    </w:p>
    <w:p w14:paraId="65709997" w14:textId="77777777" w:rsidR="000411D4" w:rsidRPr="000411D4" w:rsidRDefault="000411D4" w:rsidP="000411D4">
      <w:pPr>
        <w:pStyle w:val="ListParagraph"/>
        <w:ind w:left="406"/>
        <w:rPr>
          <w:rFonts w:ascii="Times New Roman" w:hAnsi="Times New Roman" w:cs="Times New Roman"/>
        </w:rPr>
      </w:pPr>
      <w:r w:rsidRPr="000411D4">
        <w:rPr>
          <w:rFonts w:ascii="Times New Roman" w:hAnsi="Times New Roman" w:cs="Times New Roman"/>
        </w:rPr>
        <w:t xml:space="preserve">    </w:t>
      </w:r>
    </w:p>
    <w:p w14:paraId="2BC11DDC" w14:textId="77777777" w:rsidR="000411D4" w:rsidRPr="000411D4" w:rsidRDefault="000411D4" w:rsidP="000411D4">
      <w:pPr>
        <w:pStyle w:val="ListParagraph"/>
        <w:ind w:left="406"/>
        <w:rPr>
          <w:rFonts w:ascii="Times New Roman" w:hAnsi="Times New Roman" w:cs="Times New Roman"/>
        </w:rPr>
      </w:pPr>
    </w:p>
    <w:p w14:paraId="2AA338E5" w14:textId="77777777" w:rsidR="000411D4" w:rsidRPr="000411D4" w:rsidRDefault="000411D4" w:rsidP="000411D4">
      <w:pPr>
        <w:pStyle w:val="ListParagraph"/>
        <w:ind w:left="406"/>
        <w:rPr>
          <w:rFonts w:ascii="Times New Roman" w:hAnsi="Times New Roman" w:cs="Times New Roman"/>
        </w:rPr>
      </w:pPr>
    </w:p>
    <w:p w14:paraId="52CA76F7" w14:textId="77777777" w:rsidR="000411D4" w:rsidRPr="000411D4" w:rsidRDefault="000411D4" w:rsidP="000411D4">
      <w:pPr>
        <w:pStyle w:val="ListParagraph"/>
        <w:ind w:left="406"/>
        <w:rPr>
          <w:rFonts w:ascii="Times New Roman" w:hAnsi="Times New Roman" w:cs="Times New Roman"/>
        </w:rPr>
      </w:pPr>
    </w:p>
    <w:p w14:paraId="3C42D066" w14:textId="77777777" w:rsidR="000411D4" w:rsidRPr="000411D4" w:rsidRDefault="000411D4" w:rsidP="000411D4">
      <w:pPr>
        <w:pStyle w:val="ListParagraph"/>
        <w:ind w:left="406"/>
        <w:rPr>
          <w:rFonts w:ascii="Times New Roman" w:hAnsi="Times New Roman" w:cs="Times New Roman"/>
        </w:rPr>
      </w:pPr>
    </w:p>
    <w:p w14:paraId="6A41BDC2" w14:textId="77777777" w:rsidR="000411D4" w:rsidRPr="000411D4" w:rsidRDefault="000411D4" w:rsidP="000411D4">
      <w:pPr>
        <w:pStyle w:val="ListParagraph"/>
        <w:ind w:left="406"/>
        <w:rPr>
          <w:rFonts w:ascii="Times New Roman" w:hAnsi="Times New Roman" w:cs="Times New Roman"/>
        </w:rPr>
      </w:pPr>
    </w:p>
    <w:p w14:paraId="77199A1C" w14:textId="77777777" w:rsidR="000411D4" w:rsidRDefault="000411D4" w:rsidP="000411D4">
      <w:pPr>
        <w:pStyle w:val="ListParagraph"/>
        <w:ind w:left="406"/>
        <w:rPr>
          <w:rFonts w:ascii="Times New Roman" w:hAnsi="Times New Roman" w:cs="Times New Roman"/>
        </w:rPr>
      </w:pPr>
    </w:p>
    <w:p w14:paraId="00ABD14D" w14:textId="77777777" w:rsidR="000411D4" w:rsidRDefault="000411D4" w:rsidP="000411D4">
      <w:pPr>
        <w:pStyle w:val="ListParagraph"/>
        <w:ind w:left="406"/>
        <w:rPr>
          <w:rFonts w:ascii="Times New Roman" w:hAnsi="Times New Roman" w:cs="Times New Roman"/>
        </w:rPr>
      </w:pPr>
    </w:p>
    <w:p w14:paraId="5C424309" w14:textId="77777777" w:rsidR="000411D4" w:rsidRDefault="000411D4" w:rsidP="000411D4">
      <w:pPr>
        <w:pStyle w:val="ListParagraph"/>
        <w:ind w:left="406"/>
        <w:rPr>
          <w:rFonts w:ascii="Times New Roman" w:hAnsi="Times New Roman" w:cs="Times New Roman"/>
        </w:rPr>
      </w:pPr>
    </w:p>
    <w:p w14:paraId="6323C786" w14:textId="77777777" w:rsidR="000411D4" w:rsidRDefault="000411D4" w:rsidP="000411D4">
      <w:pPr>
        <w:pStyle w:val="ListParagraph"/>
        <w:ind w:left="406"/>
        <w:rPr>
          <w:rFonts w:ascii="Times New Roman" w:hAnsi="Times New Roman" w:cs="Times New Roman"/>
        </w:rPr>
      </w:pPr>
    </w:p>
    <w:p w14:paraId="15A69B62" w14:textId="77777777" w:rsidR="000411D4" w:rsidRDefault="000411D4" w:rsidP="000411D4">
      <w:pPr>
        <w:pStyle w:val="ListParagraph"/>
        <w:ind w:left="406"/>
        <w:rPr>
          <w:rFonts w:ascii="Times New Roman" w:hAnsi="Times New Roman" w:cs="Times New Roman"/>
        </w:rPr>
      </w:pPr>
    </w:p>
    <w:p w14:paraId="2E154B59" w14:textId="77777777" w:rsidR="000411D4" w:rsidRDefault="000411D4" w:rsidP="000411D4">
      <w:pPr>
        <w:pStyle w:val="ListParagraph"/>
        <w:ind w:left="406"/>
        <w:rPr>
          <w:rFonts w:ascii="Times New Roman" w:hAnsi="Times New Roman" w:cs="Times New Roman"/>
        </w:rPr>
      </w:pPr>
    </w:p>
    <w:p w14:paraId="2FAEA09C" w14:textId="77777777" w:rsidR="000411D4" w:rsidRDefault="000411D4" w:rsidP="000411D4">
      <w:pPr>
        <w:pStyle w:val="ListParagraph"/>
        <w:ind w:left="406"/>
        <w:rPr>
          <w:rFonts w:ascii="Times New Roman" w:hAnsi="Times New Roman" w:cs="Times New Roman"/>
        </w:rPr>
      </w:pPr>
    </w:p>
    <w:p w14:paraId="1346C619" w14:textId="77777777" w:rsidR="000411D4" w:rsidRDefault="000411D4" w:rsidP="000411D4">
      <w:pPr>
        <w:pStyle w:val="ListParagraph"/>
        <w:ind w:left="406"/>
        <w:rPr>
          <w:rFonts w:ascii="Times New Roman" w:hAnsi="Times New Roman" w:cs="Times New Roman"/>
        </w:rPr>
      </w:pPr>
    </w:p>
    <w:p w14:paraId="7D4B852E" w14:textId="77777777" w:rsidR="000411D4" w:rsidRDefault="000411D4" w:rsidP="000411D4">
      <w:pPr>
        <w:pStyle w:val="ListParagraph"/>
        <w:ind w:left="406"/>
        <w:rPr>
          <w:rFonts w:ascii="Times New Roman" w:hAnsi="Times New Roman" w:cs="Times New Roman"/>
        </w:rPr>
      </w:pPr>
    </w:p>
    <w:p w14:paraId="3F7C5DD3" w14:textId="77777777" w:rsidR="000411D4" w:rsidRDefault="000411D4" w:rsidP="000411D4">
      <w:pPr>
        <w:pStyle w:val="ListParagraph"/>
        <w:ind w:left="406"/>
        <w:rPr>
          <w:rFonts w:ascii="Times New Roman" w:hAnsi="Times New Roman" w:cs="Times New Roman"/>
        </w:rPr>
      </w:pPr>
    </w:p>
    <w:p w14:paraId="2011F433" w14:textId="77777777" w:rsidR="000411D4" w:rsidRPr="000411D4" w:rsidRDefault="000411D4" w:rsidP="000411D4">
      <w:pPr>
        <w:pStyle w:val="ListParagraph"/>
        <w:ind w:left="406"/>
        <w:rPr>
          <w:rFonts w:ascii="Times New Roman" w:hAnsi="Times New Roman" w:cs="Times New Roman"/>
        </w:rPr>
      </w:pPr>
    </w:p>
    <w:p w14:paraId="674B926A" w14:textId="77777777" w:rsidR="000411D4" w:rsidRDefault="000411D4" w:rsidP="000411D4">
      <w:pPr>
        <w:pStyle w:val="ListParagraph"/>
        <w:jc w:val="center"/>
        <w:rPr>
          <w:rFonts w:ascii="Times New Roman" w:hAnsi="Times New Roman" w:cs="Times New Roman"/>
          <w:b/>
          <w:bCs/>
        </w:rPr>
      </w:pPr>
    </w:p>
    <w:p w14:paraId="0CF6916F" w14:textId="77777777" w:rsidR="000411D4" w:rsidRDefault="000411D4" w:rsidP="000411D4">
      <w:pPr>
        <w:pStyle w:val="ListParagraph"/>
        <w:jc w:val="center"/>
        <w:rPr>
          <w:rFonts w:ascii="Times New Roman" w:hAnsi="Times New Roman" w:cs="Times New Roman"/>
          <w:b/>
          <w:bCs/>
        </w:rPr>
      </w:pPr>
    </w:p>
    <w:p w14:paraId="37B9C5C1" w14:textId="77777777" w:rsidR="000411D4" w:rsidRDefault="000411D4" w:rsidP="000411D4">
      <w:pPr>
        <w:pStyle w:val="ListParagraph"/>
        <w:jc w:val="center"/>
        <w:rPr>
          <w:rFonts w:ascii="Times New Roman" w:hAnsi="Times New Roman" w:cs="Times New Roman"/>
          <w:b/>
          <w:bCs/>
        </w:rPr>
      </w:pPr>
    </w:p>
    <w:p w14:paraId="0D701142" w14:textId="77777777" w:rsidR="000411D4" w:rsidRDefault="000411D4" w:rsidP="000411D4">
      <w:pPr>
        <w:pStyle w:val="ListParagraph"/>
        <w:jc w:val="center"/>
        <w:rPr>
          <w:rFonts w:ascii="Times New Roman" w:hAnsi="Times New Roman" w:cs="Times New Roman"/>
          <w:b/>
          <w:bCs/>
        </w:rPr>
      </w:pPr>
    </w:p>
    <w:p w14:paraId="45A363AD" w14:textId="77777777" w:rsidR="000411D4" w:rsidRDefault="000411D4" w:rsidP="000411D4">
      <w:pPr>
        <w:pStyle w:val="ListParagraph"/>
        <w:jc w:val="center"/>
        <w:rPr>
          <w:rFonts w:ascii="Times New Roman" w:hAnsi="Times New Roman" w:cs="Times New Roman"/>
          <w:b/>
          <w:bCs/>
        </w:rPr>
      </w:pPr>
    </w:p>
    <w:p w14:paraId="616BB85A" w14:textId="77777777" w:rsidR="000411D4" w:rsidRDefault="000411D4" w:rsidP="000411D4">
      <w:pPr>
        <w:pStyle w:val="ListParagraph"/>
        <w:jc w:val="center"/>
        <w:rPr>
          <w:rFonts w:ascii="Times New Roman" w:hAnsi="Times New Roman" w:cs="Times New Roman"/>
          <w:b/>
          <w:bCs/>
        </w:rPr>
      </w:pPr>
    </w:p>
    <w:p w14:paraId="2CE16167" w14:textId="77777777" w:rsidR="000411D4" w:rsidRDefault="000411D4" w:rsidP="000411D4">
      <w:pPr>
        <w:pStyle w:val="ListParagraph"/>
        <w:jc w:val="center"/>
        <w:rPr>
          <w:rFonts w:ascii="Times New Roman" w:hAnsi="Times New Roman" w:cs="Times New Roman"/>
          <w:b/>
          <w:bCs/>
        </w:rPr>
      </w:pPr>
    </w:p>
    <w:p w14:paraId="26557434" w14:textId="77777777" w:rsidR="000411D4" w:rsidRDefault="000411D4" w:rsidP="000411D4">
      <w:pPr>
        <w:pStyle w:val="ListParagraph"/>
        <w:jc w:val="center"/>
        <w:rPr>
          <w:rFonts w:ascii="Times New Roman" w:hAnsi="Times New Roman" w:cs="Times New Roman"/>
          <w:b/>
          <w:bCs/>
        </w:rPr>
      </w:pPr>
    </w:p>
    <w:p w14:paraId="2C3A0DD3" w14:textId="3757BEB1" w:rsidR="000411D4" w:rsidRPr="000411D4" w:rsidRDefault="000411D4" w:rsidP="000411D4">
      <w:pPr>
        <w:pStyle w:val="ListParagraph"/>
        <w:jc w:val="center"/>
        <w:rPr>
          <w:rFonts w:ascii="Times New Roman" w:hAnsi="Times New Roman" w:cs="Times New Roman"/>
          <w:b/>
          <w:bCs/>
          <w:sz w:val="28"/>
          <w:szCs w:val="28"/>
        </w:rPr>
      </w:pPr>
      <w:r w:rsidRPr="000411D4">
        <w:rPr>
          <w:rFonts w:ascii="Times New Roman" w:hAnsi="Times New Roman" w:cs="Times New Roman"/>
          <w:b/>
          <w:bCs/>
          <w:sz w:val="28"/>
          <w:szCs w:val="28"/>
        </w:rPr>
        <w:t>Figure 2: Performance Metrices</w:t>
      </w:r>
    </w:p>
    <w:p w14:paraId="1CC7D882" w14:textId="5675FAF0" w:rsidR="00F52495" w:rsidRPr="000411D4" w:rsidRDefault="000411D4" w:rsidP="003738C8">
      <w:pPr>
        <w:pStyle w:val="ListParagraph"/>
        <w:ind w:left="406"/>
        <w:jc w:val="both"/>
        <w:rPr>
          <w:rFonts w:ascii="Times New Roman" w:hAnsi="Times New Roman" w:cs="Times New Roman"/>
        </w:rPr>
      </w:pPr>
      <w:r w:rsidRPr="000411D4">
        <w:rPr>
          <w:noProof/>
        </w:rPr>
        <w:drawing>
          <wp:anchor distT="0" distB="0" distL="114300" distR="114300" simplePos="0" relativeHeight="251660288" behindDoc="0" locked="0" layoutInCell="1" allowOverlap="1" wp14:anchorId="2B23F414" wp14:editId="381682FE">
            <wp:simplePos x="0" y="0"/>
            <wp:positionH relativeFrom="column">
              <wp:posOffset>254000</wp:posOffset>
            </wp:positionH>
            <wp:positionV relativeFrom="paragraph">
              <wp:posOffset>203200</wp:posOffset>
            </wp:positionV>
            <wp:extent cx="6332855" cy="2743200"/>
            <wp:effectExtent l="0" t="0" r="10795" b="0"/>
            <wp:wrapSquare wrapText="bothSides"/>
            <wp:docPr id="1538864693" name="Chart 1">
              <a:extLst xmlns:a="http://schemas.openxmlformats.org/drawingml/2006/main">
                <a:ext uri="{FF2B5EF4-FFF2-40B4-BE49-F238E27FC236}">
                  <a16:creationId xmlns:a16="http://schemas.microsoft.com/office/drawing/2014/main" id="{A4633A92-4D4B-AFE0-0F51-010F65F662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2FCDE378" w14:textId="77777777" w:rsidR="000411D4" w:rsidRDefault="000411D4" w:rsidP="003738C8">
      <w:pPr>
        <w:pStyle w:val="ListParagraph"/>
        <w:ind w:left="406"/>
        <w:jc w:val="both"/>
        <w:rPr>
          <w:rFonts w:ascii="Times New Roman" w:hAnsi="Times New Roman" w:cs="Times New Roman"/>
        </w:rPr>
        <w:sectPr w:rsidR="000411D4" w:rsidSect="000411D4">
          <w:type w:val="continuous"/>
          <w:pgSz w:w="12240" w:h="15840"/>
          <w:pgMar w:top="720" w:right="720" w:bottom="720" w:left="720" w:header="708" w:footer="708" w:gutter="0"/>
          <w:cols w:space="708"/>
          <w:docGrid w:linePitch="360"/>
        </w:sectPr>
      </w:pPr>
    </w:p>
    <w:p w14:paraId="5B09D457" w14:textId="58D3F54A" w:rsidR="003738C8" w:rsidRPr="000411D4" w:rsidRDefault="003738C8" w:rsidP="003738C8">
      <w:pPr>
        <w:pStyle w:val="ListParagraph"/>
        <w:ind w:left="406"/>
        <w:jc w:val="both"/>
        <w:rPr>
          <w:rFonts w:ascii="Times New Roman" w:hAnsi="Times New Roman" w:cs="Times New Roman"/>
        </w:rPr>
      </w:pPr>
    </w:p>
    <w:p w14:paraId="37134851" w14:textId="77777777" w:rsidR="003738C8" w:rsidRPr="000411D4" w:rsidRDefault="003738C8" w:rsidP="003738C8">
      <w:pPr>
        <w:pStyle w:val="ListParagraph"/>
        <w:ind w:left="406"/>
        <w:jc w:val="both"/>
        <w:rPr>
          <w:rFonts w:ascii="Times New Roman" w:hAnsi="Times New Roman" w:cs="Times New Roman"/>
        </w:rPr>
      </w:pPr>
    </w:p>
    <w:p w14:paraId="56F10252" w14:textId="77777777" w:rsidR="003738C8" w:rsidRPr="000411D4" w:rsidRDefault="003738C8" w:rsidP="003738C8">
      <w:pPr>
        <w:pStyle w:val="ListParagraph"/>
        <w:ind w:left="406"/>
        <w:jc w:val="both"/>
        <w:rPr>
          <w:rFonts w:ascii="Times New Roman" w:hAnsi="Times New Roman" w:cs="Times New Roman"/>
        </w:rPr>
      </w:pPr>
    </w:p>
    <w:p w14:paraId="0DF5D4D8" w14:textId="77777777" w:rsidR="000411D4" w:rsidRPr="000411D4" w:rsidRDefault="000411D4" w:rsidP="000411D4">
      <w:pPr>
        <w:jc w:val="both"/>
        <w:rPr>
          <w:rFonts w:ascii="Times New Roman" w:hAnsi="Times New Roman" w:cs="Times New Roman"/>
        </w:rPr>
        <w:sectPr w:rsidR="000411D4" w:rsidRPr="000411D4" w:rsidSect="000411D4">
          <w:type w:val="continuous"/>
          <w:pgSz w:w="12240" w:h="15840"/>
          <w:pgMar w:top="720" w:right="720" w:bottom="720" w:left="720" w:header="708" w:footer="708" w:gutter="0"/>
          <w:cols w:num="2" w:space="708"/>
          <w:docGrid w:linePitch="360"/>
        </w:sectPr>
      </w:pPr>
    </w:p>
    <w:p w14:paraId="09F612BC" w14:textId="77777777" w:rsidR="00722646" w:rsidRPr="000411D4" w:rsidRDefault="00722646" w:rsidP="003738C8">
      <w:pPr>
        <w:jc w:val="both"/>
        <w:rPr>
          <w:rFonts w:ascii="Times New Roman" w:hAnsi="Times New Roman" w:cs="Times New Roman"/>
        </w:rPr>
      </w:pPr>
    </w:p>
    <w:p w14:paraId="107E6691" w14:textId="58EE5554" w:rsidR="008C11C3" w:rsidRPr="000411D4" w:rsidRDefault="008C11C3" w:rsidP="003738C8">
      <w:pPr>
        <w:jc w:val="both"/>
        <w:rPr>
          <w:rFonts w:ascii="Times New Roman" w:hAnsi="Times New Roman" w:cs="Times New Roman"/>
          <w:b/>
          <w:bCs/>
        </w:rPr>
      </w:pPr>
      <w:r w:rsidRPr="000411D4">
        <w:rPr>
          <w:rFonts w:ascii="Times New Roman" w:hAnsi="Times New Roman" w:cs="Times New Roman"/>
          <w:b/>
          <w:bCs/>
        </w:rPr>
        <w:t>V.  RESULTS AND DISCUSSIONS</w:t>
      </w:r>
    </w:p>
    <w:p w14:paraId="089C3968" w14:textId="77777777" w:rsidR="000411D4" w:rsidRDefault="008C11C3" w:rsidP="003738C8">
      <w:pPr>
        <w:jc w:val="both"/>
        <w:rPr>
          <w:rFonts w:ascii="Times New Roman" w:hAnsi="Times New Roman" w:cs="Times New Roman"/>
        </w:rPr>
        <w:sectPr w:rsidR="000411D4" w:rsidSect="000411D4">
          <w:type w:val="continuous"/>
          <w:pgSz w:w="12240" w:h="15840"/>
          <w:pgMar w:top="720" w:right="720" w:bottom="720" w:left="720" w:header="708" w:footer="708" w:gutter="0"/>
          <w:cols w:num="2" w:space="708"/>
          <w:docGrid w:linePitch="360"/>
        </w:sectPr>
      </w:pPr>
      <w:r w:rsidRPr="000411D4">
        <w:rPr>
          <w:rFonts w:ascii="Times New Roman" w:hAnsi="Times New Roman" w:cs="Times New Roman"/>
        </w:rPr>
        <w:t xml:space="preserve">The analysis of the fiscal performance of the Prayagraj Municipal Corporation from 2019–20 to 2022–23 reveals significant trends in income, </w:t>
      </w:r>
      <w:r w:rsidRPr="000411D4">
        <w:rPr>
          <w:rFonts w:ascii="Times New Roman" w:hAnsi="Times New Roman" w:cs="Times New Roman"/>
        </w:rPr>
        <w:t>expenditure, and key financial metrics. As illustrated in Table 1: Annual Estimates for Prayagraj Municipal Corporation (In ₹), the total income of the corporation witnessed substantial growth, increasing from ₹2,27,29,06,071.69 in 2019–20 to ₹7</w:t>
      </w:r>
      <w:r w:rsidR="009E1926" w:rsidRPr="000411D4">
        <w:rPr>
          <w:rFonts w:ascii="Times New Roman" w:hAnsi="Times New Roman" w:cs="Times New Roman"/>
        </w:rPr>
        <w:t xml:space="preserve"> </w:t>
      </w:r>
    </w:p>
    <w:p w14:paraId="5C317AA7" w14:textId="26D5CE0F" w:rsidR="008C11C3" w:rsidRPr="000411D4" w:rsidRDefault="008C11C3" w:rsidP="003738C8">
      <w:pPr>
        <w:jc w:val="both"/>
        <w:rPr>
          <w:rFonts w:ascii="Times New Roman" w:hAnsi="Times New Roman" w:cs="Times New Roman"/>
        </w:rPr>
      </w:pPr>
      <w:r w:rsidRPr="000411D4">
        <w:rPr>
          <w:rFonts w:ascii="Times New Roman" w:hAnsi="Times New Roman" w:cs="Times New Roman"/>
        </w:rPr>
        <w:t>12,83,08,271.55 in 2022–23. This rise was primarily driven by a sharp increase in grants received, which surged from ₹1,46,28,65,862.00 in 2019–20 to ₹4,70,41,06,146.50 in 2022–23. While the corporation’s own revenue improved in recent years, rising from ₹14,84,74,068.69 in 2019–20 to ₹24,24,20,2125.05 in 2022–23, it remained relatively low compared to external funding sources, indicating a persistent reliance on grants. This dependency is further reflected in the Grants Dependency Ratio (GDR) (Table 2), which averaged 69.85% over the study period.</w:t>
      </w:r>
    </w:p>
    <w:p w14:paraId="713B386C" w14:textId="77777777" w:rsidR="008C11C3" w:rsidRPr="000411D4" w:rsidRDefault="008C11C3" w:rsidP="003738C8">
      <w:pPr>
        <w:jc w:val="both"/>
        <w:rPr>
          <w:rFonts w:ascii="Times New Roman" w:hAnsi="Times New Roman" w:cs="Times New Roman"/>
        </w:rPr>
      </w:pPr>
      <w:r w:rsidRPr="000411D4">
        <w:rPr>
          <w:rFonts w:ascii="Times New Roman" w:hAnsi="Times New Roman" w:cs="Times New Roman"/>
        </w:rPr>
        <w:t xml:space="preserve">Despite a marginal improvement in fiscal self-reliance, the Self-Dependency Ratio (SDR) remained below optimal levels, increasing from 6.53% in 2019–20 to 34.01% in 2022–23 (Table 2: Performance Metrics for Prayagraj Municipal </w:t>
      </w:r>
      <w:r w:rsidRPr="000411D4">
        <w:rPr>
          <w:rFonts w:ascii="Times New Roman" w:hAnsi="Times New Roman" w:cs="Times New Roman"/>
        </w:rPr>
        <w:t>Corporation (In %)). This underscores the necessity for enhancing revenue generation mechanisms to strengthen the corporation’s fiscal autonomy.</w:t>
      </w:r>
    </w:p>
    <w:p w14:paraId="07F08CAF" w14:textId="77777777" w:rsidR="008C11C3" w:rsidRPr="000411D4" w:rsidRDefault="008C11C3" w:rsidP="003738C8">
      <w:pPr>
        <w:jc w:val="both"/>
        <w:rPr>
          <w:rFonts w:ascii="Times New Roman" w:hAnsi="Times New Roman" w:cs="Times New Roman"/>
        </w:rPr>
      </w:pPr>
      <w:r w:rsidRPr="000411D4">
        <w:rPr>
          <w:rFonts w:ascii="Times New Roman" w:hAnsi="Times New Roman" w:cs="Times New Roman"/>
        </w:rPr>
        <w:t>On the expenditure side, Table 1 highlights that total expenditure also saw a significant rise, from ₹2,26,62,68,438.25 in 2019–20 to ₹6,99,80,84,856.46 in 2022–23. However, despite this increase, the corporation consistently maintained a budget surplus, which grew from ₹66,37,633.44 in 2019–20 to ₹13,02,23,415.09 in 2022–23.</w:t>
      </w:r>
    </w:p>
    <w:p w14:paraId="3251DC62" w14:textId="77777777" w:rsidR="008C11C3" w:rsidRPr="000411D4" w:rsidRDefault="008C11C3" w:rsidP="003738C8">
      <w:pPr>
        <w:jc w:val="both"/>
        <w:rPr>
          <w:rFonts w:ascii="Times New Roman" w:hAnsi="Times New Roman" w:cs="Times New Roman"/>
        </w:rPr>
      </w:pPr>
      <w:r w:rsidRPr="000411D4">
        <w:rPr>
          <w:rFonts w:ascii="Times New Roman" w:hAnsi="Times New Roman" w:cs="Times New Roman"/>
        </w:rPr>
        <w:t xml:space="preserve">A crucial component of fiscal performance is capital expenditure, which saw fluctuations over the study period. As observed in Table 1, capital expenditure peaked at ₹3,93,55,65,890 in 2021–22 before declining to ₹2,82,94,27,215 in 2022–23. These trends are further reflected in the Expenditure Efficiency Ratio (EER) (Table 2), which peaked at </w:t>
      </w:r>
      <w:r w:rsidRPr="000411D4">
        <w:rPr>
          <w:rFonts w:ascii="Times New Roman" w:hAnsi="Times New Roman" w:cs="Times New Roman"/>
        </w:rPr>
        <w:lastRenderedPageBreak/>
        <w:t>65.38% in 2021–22 but later dropped to 40.43% in 2022–23, indicating inefficiencies in capital resource allocation. Such fluctuations may affect long-term infrastructure development and urban service delivery.</w:t>
      </w:r>
    </w:p>
    <w:p w14:paraId="09806808" w14:textId="77777777" w:rsidR="008C11C3" w:rsidRPr="000411D4" w:rsidRDefault="008C11C3" w:rsidP="003738C8">
      <w:pPr>
        <w:jc w:val="both"/>
        <w:rPr>
          <w:rFonts w:ascii="Times New Roman" w:hAnsi="Times New Roman" w:cs="Times New Roman"/>
        </w:rPr>
      </w:pPr>
      <w:r w:rsidRPr="000411D4">
        <w:rPr>
          <w:rFonts w:ascii="Times New Roman" w:hAnsi="Times New Roman" w:cs="Times New Roman"/>
        </w:rPr>
        <w:t>The graphical representation in Figure 1: Trends in Annual Estimates and Figure 2: Performance Metrics provides further insight into these financial trends. Figure 1 illustrates the sharp increase in total income and expenditure over the years, driven by higher grants received. Figure 2 visually captures the corporation’s fiscal dependency trends, highlighting the increasing Self-Dependency Ratio alongside continued reliance on external grants.</w:t>
      </w:r>
    </w:p>
    <w:p w14:paraId="75FF5E79" w14:textId="1E23B8E0" w:rsidR="00722646" w:rsidRPr="000411D4" w:rsidRDefault="008C11C3" w:rsidP="003738C8">
      <w:pPr>
        <w:jc w:val="both"/>
        <w:rPr>
          <w:rFonts w:ascii="Times New Roman" w:hAnsi="Times New Roman" w:cs="Times New Roman"/>
        </w:rPr>
      </w:pPr>
      <w:r w:rsidRPr="000411D4">
        <w:rPr>
          <w:rFonts w:ascii="Times New Roman" w:hAnsi="Times New Roman" w:cs="Times New Roman"/>
        </w:rPr>
        <w:t>These findings underscore both the strengths and challenges in the fiscal management of the Prayagraj Municipal Corporation. While consistent surpluses and rising income levels are positive indicators, the high Grants Dependency Ratio and low Self-Dependency Ratio call for strategic interventions to improve revenue generation. Furthermore, capital expenditure fluctuations and declining efficiency ratios suggest the need for better expenditure planning and allocation. Addressing these challenges will be crucial for ensuring sustainable urban governance and enhanced financial autonomy for the corporation.</w:t>
      </w:r>
    </w:p>
    <w:p w14:paraId="2B36BA83" w14:textId="19674D99" w:rsidR="008C11C3" w:rsidRPr="000411D4" w:rsidRDefault="009C699B" w:rsidP="003738C8">
      <w:pPr>
        <w:jc w:val="both"/>
        <w:rPr>
          <w:rFonts w:ascii="Times New Roman" w:hAnsi="Times New Roman" w:cs="Times New Roman"/>
          <w:b/>
          <w:bCs/>
        </w:rPr>
      </w:pPr>
      <w:r w:rsidRPr="000411D4">
        <w:rPr>
          <w:rFonts w:ascii="Times New Roman" w:hAnsi="Times New Roman" w:cs="Times New Roman"/>
          <w:b/>
          <w:bCs/>
        </w:rPr>
        <w:t>Conclusion</w:t>
      </w:r>
    </w:p>
    <w:p w14:paraId="63D4E25D" w14:textId="5C239AB3" w:rsidR="008C11C3" w:rsidRPr="000411D4" w:rsidRDefault="00DD390D" w:rsidP="003738C8">
      <w:pPr>
        <w:jc w:val="both"/>
        <w:rPr>
          <w:rFonts w:ascii="Times New Roman" w:hAnsi="Times New Roman" w:cs="Times New Roman"/>
        </w:rPr>
      </w:pPr>
      <w:r w:rsidRPr="000411D4">
        <w:rPr>
          <w:rFonts w:ascii="Times New Roman" w:hAnsi="Times New Roman" w:cs="Times New Roman"/>
        </w:rPr>
        <w:t>The Prayagraj Municipal Corporation's budgetary performance from 2019–20 to 2022–23 is examined in order to identify important trends and obstacles to fiscal autonomy. The donations Dependency Ratio, which averaged 69.85% during the research period, shows that despite the corporation's notable increase in total income and steady surplus, it still depends heavily on outside donations. Despite its improvement, the Self Dependency Ratio is still below ideal, suggesting that there has been little success in increasing one's own money generating. The corporation's financial independence is weakened by this reliance on grants, which also restricts its capacity to independently design and carry out development programs.</w:t>
      </w:r>
    </w:p>
    <w:p w14:paraId="5CBAC8CA" w14:textId="33A53D82" w:rsidR="00E826FA" w:rsidRPr="000411D4" w:rsidRDefault="00C143E4" w:rsidP="003738C8">
      <w:pPr>
        <w:jc w:val="both"/>
        <w:rPr>
          <w:rFonts w:ascii="Times New Roman" w:hAnsi="Times New Roman" w:cs="Times New Roman"/>
        </w:rPr>
      </w:pPr>
      <w:r w:rsidRPr="000411D4">
        <w:rPr>
          <w:rFonts w:ascii="Times New Roman" w:hAnsi="Times New Roman" w:cs="Times New Roman"/>
        </w:rPr>
        <w:t>Additionally, the analysis identifies inefficiencies in the management of expenditures, namely in capital expenditures. A measure of the ratio of capital spending to total expenditure, the spending Efficiency Ratio, varied greatly, reaching a peak of 65.38% in 2021–2022 and falling to 40.43% in 2022–2023. Although the company has made progress in building its infrastructure, this shows that resource allocation and spending efficiency could yet be improved. Resolving these inefficiencies is essential to guaranteeing sustainable urban growth and raising the standard of public services. Several policy changes are suggested by the study to improve budgetary autonomy. Improving the management of taxes, especially the collection of property taxes, can greatly increase personal income. Grant dependence can be decreased by diversifying revenue streams through creative strategies like congestion fees, tourism taxes, and public-private partnerships.</w:t>
      </w:r>
    </w:p>
    <w:p w14:paraId="2CC7AC0E" w14:textId="6453BC93" w:rsidR="00722646" w:rsidRPr="000411D4" w:rsidRDefault="009C699B" w:rsidP="003738C8">
      <w:pPr>
        <w:jc w:val="both"/>
        <w:rPr>
          <w:rFonts w:ascii="Times New Roman" w:hAnsi="Times New Roman" w:cs="Times New Roman"/>
        </w:rPr>
      </w:pPr>
      <w:r w:rsidRPr="000411D4">
        <w:rPr>
          <w:rFonts w:ascii="Times New Roman" w:hAnsi="Times New Roman" w:cs="Times New Roman"/>
        </w:rPr>
        <w:t xml:space="preserve">Resource allocation can also be made more efficient by enhancing spending management through improved planning, monitoring, and capacity building programs. In summary, even though the Prayagraj Municipal Corporation has made strides in some areas, attaining fiscal autonomy is still very difficult. By putting the suggested policy changes into practice, the company can improve its financial stability, lessen its reliance on outside funding, and encourage sustainable urban growth. Policymakers, urban planners, and local government officials can all benefit from these results, which add to the larger conversation on municipal </w:t>
      </w:r>
      <w:r w:rsidR="00FB6A38" w:rsidRPr="000411D4">
        <w:rPr>
          <w:rFonts w:ascii="Times New Roman" w:hAnsi="Times New Roman" w:cs="Times New Roman"/>
        </w:rPr>
        <w:t>finance.</w:t>
      </w:r>
    </w:p>
    <w:p w14:paraId="20CFAE41" w14:textId="313CB02F" w:rsidR="007C46CB" w:rsidRPr="000411D4" w:rsidRDefault="007C46CB" w:rsidP="003738C8">
      <w:pPr>
        <w:jc w:val="both"/>
        <w:rPr>
          <w:rFonts w:ascii="Times New Roman" w:hAnsi="Times New Roman" w:cs="Times New Roman"/>
          <w:b/>
          <w:bCs/>
        </w:rPr>
      </w:pPr>
      <w:r w:rsidRPr="000411D4">
        <w:rPr>
          <w:rFonts w:ascii="Times New Roman" w:hAnsi="Times New Roman" w:cs="Times New Roman"/>
          <w:b/>
          <w:bCs/>
        </w:rPr>
        <w:t>VII.  REFERENCES</w:t>
      </w:r>
    </w:p>
    <w:p w14:paraId="5A5CC61C"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1. Ahluwalia, I. J. (2019).  Urban governance in India. Sage Publications.</w:t>
      </w:r>
    </w:p>
    <w:p w14:paraId="3428F97D"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2. Bahl, R., &amp; Linn, J. F. (1992).  Urban public finance in developing countries. Oxford University Press.</w:t>
      </w:r>
    </w:p>
    <w:p w14:paraId="22F7F7AB"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3. Bird, R. M. (2000).  Intergovernmental fiscal relations in Latin America: Policy design and policy outcomes. Inter-American Development Bank.</w:t>
      </w:r>
    </w:p>
    <w:p w14:paraId="1DE52AFF"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lastRenderedPageBreak/>
        <w:t>4. Government of India. (2020).  Municipal finances in India. Ministry of Housing and Urban Affairs.</w:t>
      </w:r>
    </w:p>
    <w:p w14:paraId="7BAF443C"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5. Indian Institute for Human Settlements. (2017).  Municipal finances in Indian cities: A case study of Pune. IIHS.</w:t>
      </w:r>
    </w:p>
    <w:p w14:paraId="0DD9BC91"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6. Kundu, A. (2011).  Urban development and infrastructure financing in India. Journal of Urban Management, 10(2), 45 60.</w:t>
      </w:r>
    </w:p>
    <w:p w14:paraId="7523C96F"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7. Mathur, O. P. (2013).  Municipal finance in India: An assessment. National Institute of Public Finance and Policy.</w:t>
      </w:r>
    </w:p>
    <w:p w14:paraId="78F3A174"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8. Mohanty, P. K., et al. (2007).  Municipal finance in India: A critical analysis. Journal of Urban Economics, 25(3), 123 145.</w:t>
      </w:r>
    </w:p>
    <w:p w14:paraId="3585E231"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9. Oates, W. E. (1972).  Fiscal federalism. Harcourt Brace Jovanovich.</w:t>
      </w:r>
    </w:p>
    <w:p w14:paraId="6C433FCC"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10. Peterson, G. E. (2006).  Land leasing and land sale as an infrastructure financing option. World Bank.</w:t>
      </w:r>
    </w:p>
    <w:p w14:paraId="6AF378AE"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11. Prayagraj Municipal Corporation. (2023).  Annual financial reports (2019–2023).</w:t>
      </w:r>
    </w:p>
    <w:p w14:paraId="1969A9EB"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12. Rao, M. G., &amp; Bird, R. M. (2010).  Urban governance and finance in India. Journal of Urban Economics, 30(4), 567 589.</w:t>
      </w:r>
    </w:p>
    <w:p w14:paraId="05A855D8"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13. Ranganathan, M. (2015).  Fiscal autonomy and urban governance: A case study of Bengaluru. Economic and Political Weekly, 50(12), 45 52.</w:t>
      </w:r>
    </w:p>
    <w:p w14:paraId="25F1FF29"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14. Reserve Bank of India. (2022).  State finances: A study of budgets. RBI.</w:t>
      </w:r>
    </w:p>
    <w:p w14:paraId="4FD68A81"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15. Slack, E. (2009).  Municipal finance and the pattern of urban </w:t>
      </w:r>
      <w:proofErr w:type="gramStart"/>
      <w:r w:rsidRPr="000411D4">
        <w:rPr>
          <w:rFonts w:ascii="Times New Roman" w:hAnsi="Times New Roman" w:cs="Times New Roman"/>
        </w:rPr>
        <w:t>growth .</w:t>
      </w:r>
      <w:proofErr w:type="gramEnd"/>
      <w:r w:rsidRPr="000411D4">
        <w:rPr>
          <w:rFonts w:ascii="Times New Roman" w:hAnsi="Times New Roman" w:cs="Times New Roman"/>
        </w:rPr>
        <w:t xml:space="preserve"> Journal of Urban Economics, 28(2), 234 256.</w:t>
      </w:r>
    </w:p>
    <w:p w14:paraId="748C630F"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16. United Nations. (2014).  World urbanization prospects: The 2014 </w:t>
      </w:r>
      <w:proofErr w:type="gramStart"/>
      <w:r w:rsidRPr="000411D4">
        <w:rPr>
          <w:rFonts w:ascii="Times New Roman" w:hAnsi="Times New Roman" w:cs="Times New Roman"/>
        </w:rPr>
        <w:t>revision .</w:t>
      </w:r>
      <w:proofErr w:type="gramEnd"/>
      <w:r w:rsidRPr="000411D4">
        <w:rPr>
          <w:rFonts w:ascii="Times New Roman" w:hAnsi="Times New Roman" w:cs="Times New Roman"/>
        </w:rPr>
        <w:t xml:space="preserve"> UN Department of Economic and Social Affairs.</w:t>
      </w:r>
    </w:p>
    <w:p w14:paraId="48C11B61"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17. World Bank. (2014).  Municipal finance in South Asia: Challenges and </w:t>
      </w:r>
      <w:proofErr w:type="gramStart"/>
      <w:r w:rsidRPr="000411D4">
        <w:rPr>
          <w:rFonts w:ascii="Times New Roman" w:hAnsi="Times New Roman" w:cs="Times New Roman"/>
        </w:rPr>
        <w:t>opportunities .</w:t>
      </w:r>
      <w:proofErr w:type="gramEnd"/>
      <w:r w:rsidRPr="000411D4">
        <w:rPr>
          <w:rFonts w:ascii="Times New Roman" w:hAnsi="Times New Roman" w:cs="Times New Roman"/>
        </w:rPr>
        <w:t xml:space="preserve"> World Bank Publications.</w:t>
      </w:r>
    </w:p>
    <w:p w14:paraId="3344257E"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18. Bird, R. M., &amp; Slack, E. (2004).  International handbook of land and property </w:t>
      </w:r>
      <w:proofErr w:type="gramStart"/>
      <w:r w:rsidRPr="000411D4">
        <w:rPr>
          <w:rFonts w:ascii="Times New Roman" w:hAnsi="Times New Roman" w:cs="Times New Roman"/>
        </w:rPr>
        <w:t>taxation .</w:t>
      </w:r>
      <w:proofErr w:type="gramEnd"/>
      <w:r w:rsidRPr="000411D4">
        <w:rPr>
          <w:rFonts w:ascii="Times New Roman" w:hAnsi="Times New Roman" w:cs="Times New Roman"/>
        </w:rPr>
        <w:t xml:space="preserve"> Edward Elgar Publishing.</w:t>
      </w:r>
    </w:p>
    <w:p w14:paraId="585F10AA"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19. Dillinger, W. (1991).  Urban property tax reform: Guidelines and </w:t>
      </w:r>
      <w:proofErr w:type="gramStart"/>
      <w:r w:rsidRPr="000411D4">
        <w:rPr>
          <w:rFonts w:ascii="Times New Roman" w:hAnsi="Times New Roman" w:cs="Times New Roman"/>
        </w:rPr>
        <w:t>recommendations .</w:t>
      </w:r>
      <w:proofErr w:type="gramEnd"/>
      <w:r w:rsidRPr="000411D4">
        <w:rPr>
          <w:rFonts w:ascii="Times New Roman" w:hAnsi="Times New Roman" w:cs="Times New Roman"/>
        </w:rPr>
        <w:t xml:space="preserve"> World Bank.</w:t>
      </w:r>
    </w:p>
    <w:p w14:paraId="520F24F2"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20. Ghosh, B. (2013).  Urban governance in India: Issues and </w:t>
      </w:r>
      <w:proofErr w:type="gramStart"/>
      <w:r w:rsidRPr="000411D4">
        <w:rPr>
          <w:rFonts w:ascii="Times New Roman" w:hAnsi="Times New Roman" w:cs="Times New Roman"/>
        </w:rPr>
        <w:t>challenges .</w:t>
      </w:r>
      <w:proofErr w:type="gramEnd"/>
      <w:r w:rsidRPr="000411D4">
        <w:rPr>
          <w:rFonts w:ascii="Times New Roman" w:hAnsi="Times New Roman" w:cs="Times New Roman"/>
        </w:rPr>
        <w:t xml:space="preserve"> Journal of Urban Management, 8(3), 123 135.</w:t>
      </w:r>
    </w:p>
    <w:p w14:paraId="2A0933ED"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21. Healey, P. (1997).  Collaborative planning: Shaping places in fragmented </w:t>
      </w:r>
      <w:proofErr w:type="gramStart"/>
      <w:r w:rsidRPr="000411D4">
        <w:rPr>
          <w:rFonts w:ascii="Times New Roman" w:hAnsi="Times New Roman" w:cs="Times New Roman"/>
        </w:rPr>
        <w:t>societies .</w:t>
      </w:r>
      <w:proofErr w:type="gramEnd"/>
      <w:r w:rsidRPr="000411D4">
        <w:rPr>
          <w:rFonts w:ascii="Times New Roman" w:hAnsi="Times New Roman" w:cs="Times New Roman"/>
        </w:rPr>
        <w:t xml:space="preserve"> Macmillan.</w:t>
      </w:r>
    </w:p>
    <w:p w14:paraId="3E19E709"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22. Ingram, G. K., &amp; Hong, Y. H. (2012).  Municipal revenues and land </w:t>
      </w:r>
      <w:proofErr w:type="gramStart"/>
      <w:r w:rsidRPr="000411D4">
        <w:rPr>
          <w:rFonts w:ascii="Times New Roman" w:hAnsi="Times New Roman" w:cs="Times New Roman"/>
        </w:rPr>
        <w:t>policies .</w:t>
      </w:r>
      <w:proofErr w:type="gramEnd"/>
      <w:r w:rsidRPr="000411D4">
        <w:rPr>
          <w:rFonts w:ascii="Times New Roman" w:hAnsi="Times New Roman" w:cs="Times New Roman"/>
        </w:rPr>
        <w:t xml:space="preserve"> Lincoln Institute of Land Policy.</w:t>
      </w:r>
    </w:p>
    <w:p w14:paraId="02C1193E"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23. Krugman, P. (1991).  Geography and </w:t>
      </w:r>
      <w:proofErr w:type="gramStart"/>
      <w:r w:rsidRPr="000411D4">
        <w:rPr>
          <w:rFonts w:ascii="Times New Roman" w:hAnsi="Times New Roman" w:cs="Times New Roman"/>
        </w:rPr>
        <w:t>trade .</w:t>
      </w:r>
      <w:proofErr w:type="gramEnd"/>
      <w:r w:rsidRPr="000411D4">
        <w:rPr>
          <w:rFonts w:ascii="Times New Roman" w:hAnsi="Times New Roman" w:cs="Times New Roman"/>
        </w:rPr>
        <w:t xml:space="preserve"> MIT Press.</w:t>
      </w:r>
    </w:p>
    <w:p w14:paraId="44F21240"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24. Lall, S. V., &amp; Deichmann, U. (2006).  Fiscal decentralization and economic growth: A comparative study of developing and transition </w:t>
      </w:r>
      <w:proofErr w:type="gramStart"/>
      <w:r w:rsidRPr="000411D4">
        <w:rPr>
          <w:rFonts w:ascii="Times New Roman" w:hAnsi="Times New Roman" w:cs="Times New Roman"/>
        </w:rPr>
        <w:t>economies .</w:t>
      </w:r>
      <w:proofErr w:type="gramEnd"/>
      <w:r w:rsidRPr="000411D4">
        <w:rPr>
          <w:rFonts w:ascii="Times New Roman" w:hAnsi="Times New Roman" w:cs="Times New Roman"/>
        </w:rPr>
        <w:t xml:space="preserve"> World Bank.</w:t>
      </w:r>
    </w:p>
    <w:p w14:paraId="15B2F9F8" w14:textId="77777777" w:rsidR="007C46CB" w:rsidRPr="000411D4" w:rsidRDefault="007C46CB" w:rsidP="003738C8">
      <w:pPr>
        <w:jc w:val="both"/>
        <w:rPr>
          <w:rFonts w:ascii="Times New Roman" w:hAnsi="Times New Roman" w:cs="Times New Roman"/>
        </w:rPr>
      </w:pPr>
      <w:r w:rsidRPr="000411D4">
        <w:rPr>
          <w:rFonts w:ascii="Times New Roman" w:hAnsi="Times New Roman" w:cs="Times New Roman"/>
        </w:rPr>
        <w:t xml:space="preserve">25. Roy, A. (2009).  Civic governmentality: The politics of inclusion in Bangalore and </w:t>
      </w:r>
      <w:proofErr w:type="gramStart"/>
      <w:r w:rsidRPr="000411D4">
        <w:rPr>
          <w:rFonts w:ascii="Times New Roman" w:hAnsi="Times New Roman" w:cs="Times New Roman"/>
        </w:rPr>
        <w:t>Mumbai .</w:t>
      </w:r>
      <w:proofErr w:type="gramEnd"/>
      <w:r w:rsidRPr="000411D4">
        <w:rPr>
          <w:rFonts w:ascii="Times New Roman" w:hAnsi="Times New Roman" w:cs="Times New Roman"/>
        </w:rPr>
        <w:t xml:space="preserve"> Antipode, 41(1), 159 181.</w:t>
      </w:r>
    </w:p>
    <w:p w14:paraId="365A88D0" w14:textId="6422B27C" w:rsidR="00E659C2" w:rsidRPr="000411D4" w:rsidRDefault="00E659C2" w:rsidP="003738C8">
      <w:pPr>
        <w:jc w:val="both"/>
        <w:rPr>
          <w:rFonts w:ascii="Times New Roman" w:hAnsi="Times New Roman" w:cs="Times New Roman"/>
        </w:rPr>
      </w:pPr>
    </w:p>
    <w:sectPr w:rsidR="00E659C2" w:rsidRPr="000411D4" w:rsidSect="003738C8">
      <w:type w:val="continuous"/>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E194" w14:textId="77777777" w:rsidR="001A25F5" w:rsidRDefault="001A25F5" w:rsidP="008E113F">
      <w:pPr>
        <w:spacing w:after="0" w:line="240" w:lineRule="auto"/>
      </w:pPr>
      <w:r>
        <w:separator/>
      </w:r>
    </w:p>
  </w:endnote>
  <w:endnote w:type="continuationSeparator" w:id="0">
    <w:p w14:paraId="3B9F8DBF" w14:textId="77777777" w:rsidR="001A25F5" w:rsidRDefault="001A25F5" w:rsidP="008E1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66AC3" w14:textId="77777777" w:rsidR="001A25F5" w:rsidRDefault="001A25F5" w:rsidP="008E113F">
      <w:pPr>
        <w:spacing w:after="0" w:line="240" w:lineRule="auto"/>
      </w:pPr>
      <w:r>
        <w:separator/>
      </w:r>
    </w:p>
  </w:footnote>
  <w:footnote w:type="continuationSeparator" w:id="0">
    <w:p w14:paraId="65B289C9" w14:textId="77777777" w:rsidR="001A25F5" w:rsidRDefault="001A25F5" w:rsidP="008E1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7D61"/>
    <w:multiLevelType w:val="hybridMultilevel"/>
    <w:tmpl w:val="D8DAA710"/>
    <w:lvl w:ilvl="0" w:tplc="BBAEB91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DF5C8C"/>
    <w:multiLevelType w:val="hybridMultilevel"/>
    <w:tmpl w:val="5590CDB4"/>
    <w:lvl w:ilvl="0" w:tplc="FFFFFFFF">
      <w:start w:val="1"/>
      <w:numFmt w:val="decimal"/>
      <w:lvlText w:val="%1."/>
      <w:lvlJc w:val="left"/>
      <w:pPr>
        <w:ind w:left="406" w:hanging="360"/>
      </w:pPr>
      <w:rPr>
        <w:rFonts w:hint="default"/>
      </w:r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2" w15:restartNumberingAfterBreak="0">
    <w:nsid w:val="2E3A3316"/>
    <w:multiLevelType w:val="hybridMultilevel"/>
    <w:tmpl w:val="0284C3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BCC0B16"/>
    <w:multiLevelType w:val="hybridMultilevel"/>
    <w:tmpl w:val="EA183508"/>
    <w:lvl w:ilvl="0" w:tplc="4009000F">
      <w:start w:val="1"/>
      <w:numFmt w:val="decimal"/>
      <w:lvlText w:val="%1."/>
      <w:lvlJc w:val="left"/>
      <w:pPr>
        <w:ind w:left="1126" w:hanging="360"/>
      </w:pPr>
    </w:lvl>
    <w:lvl w:ilvl="1" w:tplc="40090019" w:tentative="1">
      <w:start w:val="1"/>
      <w:numFmt w:val="lowerLetter"/>
      <w:lvlText w:val="%2."/>
      <w:lvlJc w:val="left"/>
      <w:pPr>
        <w:ind w:left="1846" w:hanging="360"/>
      </w:pPr>
    </w:lvl>
    <w:lvl w:ilvl="2" w:tplc="4009001B" w:tentative="1">
      <w:start w:val="1"/>
      <w:numFmt w:val="lowerRoman"/>
      <w:lvlText w:val="%3."/>
      <w:lvlJc w:val="right"/>
      <w:pPr>
        <w:ind w:left="2566" w:hanging="180"/>
      </w:pPr>
    </w:lvl>
    <w:lvl w:ilvl="3" w:tplc="4009000F" w:tentative="1">
      <w:start w:val="1"/>
      <w:numFmt w:val="decimal"/>
      <w:lvlText w:val="%4."/>
      <w:lvlJc w:val="left"/>
      <w:pPr>
        <w:ind w:left="3286" w:hanging="360"/>
      </w:pPr>
    </w:lvl>
    <w:lvl w:ilvl="4" w:tplc="40090019" w:tentative="1">
      <w:start w:val="1"/>
      <w:numFmt w:val="lowerLetter"/>
      <w:lvlText w:val="%5."/>
      <w:lvlJc w:val="left"/>
      <w:pPr>
        <w:ind w:left="4006" w:hanging="360"/>
      </w:pPr>
    </w:lvl>
    <w:lvl w:ilvl="5" w:tplc="4009001B" w:tentative="1">
      <w:start w:val="1"/>
      <w:numFmt w:val="lowerRoman"/>
      <w:lvlText w:val="%6."/>
      <w:lvlJc w:val="right"/>
      <w:pPr>
        <w:ind w:left="4726" w:hanging="180"/>
      </w:pPr>
    </w:lvl>
    <w:lvl w:ilvl="6" w:tplc="4009000F" w:tentative="1">
      <w:start w:val="1"/>
      <w:numFmt w:val="decimal"/>
      <w:lvlText w:val="%7."/>
      <w:lvlJc w:val="left"/>
      <w:pPr>
        <w:ind w:left="5446" w:hanging="360"/>
      </w:pPr>
    </w:lvl>
    <w:lvl w:ilvl="7" w:tplc="40090019" w:tentative="1">
      <w:start w:val="1"/>
      <w:numFmt w:val="lowerLetter"/>
      <w:lvlText w:val="%8."/>
      <w:lvlJc w:val="left"/>
      <w:pPr>
        <w:ind w:left="6166" w:hanging="360"/>
      </w:pPr>
    </w:lvl>
    <w:lvl w:ilvl="8" w:tplc="4009001B" w:tentative="1">
      <w:start w:val="1"/>
      <w:numFmt w:val="lowerRoman"/>
      <w:lvlText w:val="%9."/>
      <w:lvlJc w:val="right"/>
      <w:pPr>
        <w:ind w:left="6886" w:hanging="180"/>
      </w:pPr>
    </w:lvl>
  </w:abstractNum>
  <w:num w:numId="1" w16cid:durableId="898975889">
    <w:abstractNumId w:val="1"/>
  </w:num>
  <w:num w:numId="2" w16cid:durableId="65688769">
    <w:abstractNumId w:val="2"/>
  </w:num>
  <w:num w:numId="3" w16cid:durableId="118497364">
    <w:abstractNumId w:val="3"/>
  </w:num>
  <w:num w:numId="4" w16cid:durableId="122926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C2"/>
    <w:rsid w:val="00002256"/>
    <w:rsid w:val="000411D4"/>
    <w:rsid w:val="0006136E"/>
    <w:rsid w:val="000764D9"/>
    <w:rsid w:val="000E4B4C"/>
    <w:rsid w:val="001303CD"/>
    <w:rsid w:val="001A25F5"/>
    <w:rsid w:val="001F3227"/>
    <w:rsid w:val="00203A7A"/>
    <w:rsid w:val="00211133"/>
    <w:rsid w:val="002120CE"/>
    <w:rsid w:val="00366CF7"/>
    <w:rsid w:val="003738C8"/>
    <w:rsid w:val="003B6F00"/>
    <w:rsid w:val="003E2377"/>
    <w:rsid w:val="00450AAF"/>
    <w:rsid w:val="004521BB"/>
    <w:rsid w:val="00472DD1"/>
    <w:rsid w:val="0055763B"/>
    <w:rsid w:val="005778BC"/>
    <w:rsid w:val="005C272F"/>
    <w:rsid w:val="0060378D"/>
    <w:rsid w:val="0062351C"/>
    <w:rsid w:val="00701CD4"/>
    <w:rsid w:val="00722646"/>
    <w:rsid w:val="007C4456"/>
    <w:rsid w:val="007C46CB"/>
    <w:rsid w:val="0089290E"/>
    <w:rsid w:val="008A03ED"/>
    <w:rsid w:val="008B68CF"/>
    <w:rsid w:val="008C11C3"/>
    <w:rsid w:val="008C3B0E"/>
    <w:rsid w:val="008C7F3A"/>
    <w:rsid w:val="008E113F"/>
    <w:rsid w:val="009620E7"/>
    <w:rsid w:val="009C699B"/>
    <w:rsid w:val="009E1926"/>
    <w:rsid w:val="00A37BEE"/>
    <w:rsid w:val="00A67B8D"/>
    <w:rsid w:val="00AE7BF9"/>
    <w:rsid w:val="00B3058A"/>
    <w:rsid w:val="00B453AD"/>
    <w:rsid w:val="00B76D09"/>
    <w:rsid w:val="00B93625"/>
    <w:rsid w:val="00BA0DA5"/>
    <w:rsid w:val="00C07783"/>
    <w:rsid w:val="00C143E4"/>
    <w:rsid w:val="00CC2FA7"/>
    <w:rsid w:val="00CE16F9"/>
    <w:rsid w:val="00DD390D"/>
    <w:rsid w:val="00E659C2"/>
    <w:rsid w:val="00E826FA"/>
    <w:rsid w:val="00F26113"/>
    <w:rsid w:val="00F52495"/>
    <w:rsid w:val="00FA2DBE"/>
    <w:rsid w:val="00FB2CC0"/>
    <w:rsid w:val="00FB6A38"/>
    <w:rsid w:val="00FC6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E9FB"/>
  <w15:chartTrackingRefBased/>
  <w15:docId w15:val="{3E5133BF-68DE-F849-B312-4C88C7AB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9C2"/>
    <w:rPr>
      <w:rFonts w:eastAsiaTheme="majorEastAsia" w:cstheme="majorBidi"/>
      <w:color w:val="272727" w:themeColor="text1" w:themeTint="D8"/>
    </w:rPr>
  </w:style>
  <w:style w:type="paragraph" w:styleId="Title">
    <w:name w:val="Title"/>
    <w:basedOn w:val="Normal"/>
    <w:next w:val="Normal"/>
    <w:link w:val="TitleChar"/>
    <w:uiPriority w:val="10"/>
    <w:qFormat/>
    <w:rsid w:val="00E65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9C2"/>
    <w:pPr>
      <w:spacing w:before="160"/>
      <w:jc w:val="center"/>
    </w:pPr>
    <w:rPr>
      <w:i/>
      <w:iCs/>
      <w:color w:val="404040" w:themeColor="text1" w:themeTint="BF"/>
    </w:rPr>
  </w:style>
  <w:style w:type="character" w:customStyle="1" w:styleId="QuoteChar">
    <w:name w:val="Quote Char"/>
    <w:basedOn w:val="DefaultParagraphFont"/>
    <w:link w:val="Quote"/>
    <w:uiPriority w:val="29"/>
    <w:rsid w:val="00E659C2"/>
    <w:rPr>
      <w:i/>
      <w:iCs/>
      <w:color w:val="404040" w:themeColor="text1" w:themeTint="BF"/>
    </w:rPr>
  </w:style>
  <w:style w:type="paragraph" w:styleId="ListParagraph">
    <w:name w:val="List Paragraph"/>
    <w:basedOn w:val="Normal"/>
    <w:uiPriority w:val="34"/>
    <w:qFormat/>
    <w:rsid w:val="00E659C2"/>
    <w:pPr>
      <w:ind w:left="720"/>
      <w:contextualSpacing/>
    </w:pPr>
  </w:style>
  <w:style w:type="character" w:styleId="IntenseEmphasis">
    <w:name w:val="Intense Emphasis"/>
    <w:basedOn w:val="DefaultParagraphFont"/>
    <w:uiPriority w:val="21"/>
    <w:qFormat/>
    <w:rsid w:val="00E659C2"/>
    <w:rPr>
      <w:i/>
      <w:iCs/>
      <w:color w:val="0F4761" w:themeColor="accent1" w:themeShade="BF"/>
    </w:rPr>
  </w:style>
  <w:style w:type="paragraph" w:styleId="IntenseQuote">
    <w:name w:val="Intense Quote"/>
    <w:basedOn w:val="Normal"/>
    <w:next w:val="Normal"/>
    <w:link w:val="IntenseQuoteChar"/>
    <w:uiPriority w:val="30"/>
    <w:qFormat/>
    <w:rsid w:val="00E65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9C2"/>
    <w:rPr>
      <w:i/>
      <w:iCs/>
      <w:color w:val="0F4761" w:themeColor="accent1" w:themeShade="BF"/>
    </w:rPr>
  </w:style>
  <w:style w:type="character" w:styleId="IntenseReference">
    <w:name w:val="Intense Reference"/>
    <w:basedOn w:val="DefaultParagraphFont"/>
    <w:uiPriority w:val="32"/>
    <w:qFormat/>
    <w:rsid w:val="00E659C2"/>
    <w:rPr>
      <w:b/>
      <w:bCs/>
      <w:smallCaps/>
      <w:color w:val="0F4761" w:themeColor="accent1" w:themeShade="BF"/>
      <w:spacing w:val="5"/>
    </w:rPr>
  </w:style>
  <w:style w:type="paragraph" w:styleId="Header">
    <w:name w:val="header"/>
    <w:basedOn w:val="Normal"/>
    <w:link w:val="HeaderChar"/>
    <w:uiPriority w:val="99"/>
    <w:unhideWhenUsed/>
    <w:rsid w:val="008E11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13F"/>
  </w:style>
  <w:style w:type="paragraph" w:styleId="Footer">
    <w:name w:val="footer"/>
    <w:basedOn w:val="Normal"/>
    <w:link w:val="FooterChar"/>
    <w:uiPriority w:val="99"/>
    <w:unhideWhenUsed/>
    <w:rsid w:val="008E1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13F"/>
  </w:style>
  <w:style w:type="table" w:styleId="TableGridLight">
    <w:name w:val="Grid Table Light"/>
    <w:basedOn w:val="TableNormal"/>
    <w:uiPriority w:val="40"/>
    <w:rsid w:val="000411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299793">
      <w:bodyDiv w:val="1"/>
      <w:marLeft w:val="0"/>
      <w:marRight w:val="0"/>
      <w:marTop w:val="0"/>
      <w:marBottom w:val="0"/>
      <w:divBdr>
        <w:top w:val="none" w:sz="0" w:space="0" w:color="auto"/>
        <w:left w:val="none" w:sz="0" w:space="0" w:color="auto"/>
        <w:bottom w:val="none" w:sz="0" w:space="0" w:color="auto"/>
        <w:right w:val="none" w:sz="0" w:space="0" w:color="auto"/>
      </w:divBdr>
    </w:div>
    <w:div w:id="813596019">
      <w:bodyDiv w:val="1"/>
      <w:marLeft w:val="0"/>
      <w:marRight w:val="0"/>
      <w:marTop w:val="0"/>
      <w:marBottom w:val="0"/>
      <w:divBdr>
        <w:top w:val="none" w:sz="0" w:space="0" w:color="auto"/>
        <w:left w:val="none" w:sz="0" w:space="0" w:color="auto"/>
        <w:bottom w:val="none" w:sz="0" w:space="0" w:color="auto"/>
        <w:right w:val="none" w:sz="0" w:space="0" w:color="auto"/>
      </w:divBdr>
    </w:div>
    <w:div w:id="2052487628">
      <w:bodyDiv w:val="1"/>
      <w:marLeft w:val="0"/>
      <w:marRight w:val="0"/>
      <w:marTop w:val="0"/>
      <w:marBottom w:val="0"/>
      <w:divBdr>
        <w:top w:val="none" w:sz="0" w:space="0" w:color="auto"/>
        <w:left w:val="none" w:sz="0" w:space="0" w:color="auto"/>
        <w:bottom w:val="none" w:sz="0" w:space="0" w:color="auto"/>
        <w:right w:val="none" w:sz="0" w:space="0" w:color="auto"/>
      </w:divBdr>
    </w:div>
    <w:div w:id="208688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arsh\AppData\Local\Microsoft\Windows\INetCache\IE\5B74NFUW\Allahbad_Muncipal_corporation%5b1%5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latin typeface="Times New Roman" panose="02020603050405020304" pitchFamily="18" charset="0"/>
                <a:cs typeface="Times New Roman" panose="02020603050405020304" pitchFamily="18" charset="0"/>
              </a:rPr>
              <a:t>Performance Metrices (%)</a:t>
            </a:r>
          </a:p>
        </c:rich>
      </c:tx>
      <c:layout>
        <c:manualLayout>
          <c:xMode val="edge"/>
          <c:yMode val="edge"/>
          <c:x val="0.31620122484689417"/>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Analysis!$A$11</c:f>
              <c:strCache>
                <c:ptCount val="1"/>
                <c:pt idx="0">
                  <c:v>Self Dependency Ratio</c:v>
                </c:pt>
              </c:strCache>
            </c:strRef>
          </c:tx>
          <c:spPr>
            <a:ln w="158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Analysis!$B$10:$E$10</c:f>
              <c:strCache>
                <c:ptCount val="4"/>
                <c:pt idx="0">
                  <c:v> 2019-20</c:v>
                </c:pt>
                <c:pt idx="1">
                  <c:v> 2020-21</c:v>
                </c:pt>
                <c:pt idx="2">
                  <c:v> 2021-22</c:v>
                </c:pt>
                <c:pt idx="3">
                  <c:v> 2022-23</c:v>
                </c:pt>
              </c:strCache>
            </c:strRef>
          </c:cat>
          <c:val>
            <c:numRef>
              <c:f>Analysis!$B$11:$E$11</c:f>
              <c:numCache>
                <c:formatCode>0.00%</c:formatCode>
                <c:ptCount val="4"/>
                <c:pt idx="0">
                  <c:v>6.5323451126866564E-2</c:v>
                </c:pt>
                <c:pt idx="1">
                  <c:v>1.944468167696841E-2</c:v>
                </c:pt>
                <c:pt idx="2">
                  <c:v>0.34774758609830303</c:v>
                </c:pt>
                <c:pt idx="3">
                  <c:v>0.34008098874249082</c:v>
                </c:pt>
              </c:numCache>
            </c:numRef>
          </c:val>
          <c:smooth val="0"/>
          <c:extLst>
            <c:ext xmlns:c16="http://schemas.microsoft.com/office/drawing/2014/chart" uri="{C3380CC4-5D6E-409C-BE32-E72D297353CC}">
              <c16:uniqueId val="{00000000-B58B-4936-B1DE-1A63B4F8100A}"/>
            </c:ext>
          </c:extLst>
        </c:ser>
        <c:ser>
          <c:idx val="1"/>
          <c:order val="1"/>
          <c:tx>
            <c:strRef>
              <c:f>Analysis!$A$12</c:f>
              <c:strCache>
                <c:ptCount val="1"/>
                <c:pt idx="0">
                  <c:v>Grants Dependency Ratio</c:v>
                </c:pt>
              </c:strCache>
            </c:strRef>
          </c:tx>
          <c:spPr>
            <a:ln w="15875" cap="rnd">
              <a:solidFill>
                <a:srgbClr val="7030A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Analysis!$B$10:$E$10</c:f>
              <c:strCache>
                <c:ptCount val="4"/>
                <c:pt idx="0">
                  <c:v> 2019-20</c:v>
                </c:pt>
                <c:pt idx="1">
                  <c:v> 2020-21</c:v>
                </c:pt>
                <c:pt idx="2">
                  <c:v> 2021-22</c:v>
                </c:pt>
                <c:pt idx="3">
                  <c:v> 2022-23</c:v>
                </c:pt>
              </c:strCache>
            </c:strRef>
          </c:cat>
          <c:val>
            <c:numRef>
              <c:f>Analysis!$B$12:$E$12</c:f>
              <c:numCache>
                <c:formatCode>0.00%</c:formatCode>
                <c:ptCount val="4"/>
                <c:pt idx="0">
                  <c:v>0.64361034546064566</c:v>
                </c:pt>
                <c:pt idx="1">
                  <c:v>0.83843169746125634</c:v>
                </c:pt>
                <c:pt idx="2">
                  <c:v>0.65225241390169708</c:v>
                </c:pt>
                <c:pt idx="3">
                  <c:v>0.65991901125750918</c:v>
                </c:pt>
              </c:numCache>
            </c:numRef>
          </c:val>
          <c:smooth val="0"/>
          <c:extLst>
            <c:ext xmlns:c16="http://schemas.microsoft.com/office/drawing/2014/chart" uri="{C3380CC4-5D6E-409C-BE32-E72D297353CC}">
              <c16:uniqueId val="{00000001-B58B-4936-B1DE-1A63B4F8100A}"/>
            </c:ext>
          </c:extLst>
        </c:ser>
        <c:ser>
          <c:idx val="2"/>
          <c:order val="2"/>
          <c:tx>
            <c:strRef>
              <c:f>Analysis!$A$13</c:f>
              <c:strCache>
                <c:ptCount val="1"/>
                <c:pt idx="0">
                  <c:v>Expenditure efficiency Ratio</c:v>
                </c:pt>
              </c:strCache>
            </c:strRef>
          </c:tx>
          <c:spPr>
            <a:ln w="19050" cap="rnd">
              <a:solidFill>
                <a:srgbClr val="92D05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Analysis!$B$10:$E$10</c:f>
              <c:strCache>
                <c:ptCount val="4"/>
                <c:pt idx="0">
                  <c:v> 2019-20</c:v>
                </c:pt>
                <c:pt idx="1">
                  <c:v> 2020-21</c:v>
                </c:pt>
                <c:pt idx="2">
                  <c:v> 2021-22</c:v>
                </c:pt>
                <c:pt idx="3">
                  <c:v> 2022-23</c:v>
                </c:pt>
              </c:strCache>
            </c:strRef>
          </c:cat>
          <c:val>
            <c:numRef>
              <c:f>Analysis!$B$13:$E$13</c:f>
              <c:numCache>
                <c:formatCode>0.00%</c:formatCode>
                <c:ptCount val="4"/>
                <c:pt idx="0">
                  <c:v>0.14035662567653465</c:v>
                </c:pt>
                <c:pt idx="1">
                  <c:v>0.4533128183011928</c:v>
                </c:pt>
                <c:pt idx="2">
                  <c:v>0.65375517034845099</c:v>
                </c:pt>
                <c:pt idx="3">
                  <c:v>0.40431450501891647</c:v>
                </c:pt>
              </c:numCache>
            </c:numRef>
          </c:val>
          <c:smooth val="0"/>
          <c:extLst>
            <c:ext xmlns:c16="http://schemas.microsoft.com/office/drawing/2014/chart" uri="{C3380CC4-5D6E-409C-BE32-E72D297353CC}">
              <c16:uniqueId val="{00000002-B58B-4936-B1DE-1A63B4F8100A}"/>
            </c:ext>
          </c:extLst>
        </c:ser>
        <c:dLbls>
          <c:dLblPos val="t"/>
          <c:showLegendKey val="0"/>
          <c:showVal val="1"/>
          <c:showCatName val="0"/>
          <c:showSerName val="0"/>
          <c:showPercent val="0"/>
          <c:showBubbleSize val="0"/>
        </c:dLbls>
        <c:smooth val="0"/>
        <c:axId val="844735999"/>
        <c:axId val="844734559"/>
      </c:lineChart>
      <c:catAx>
        <c:axId val="8447359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734559"/>
        <c:crosses val="autoZero"/>
        <c:auto val="1"/>
        <c:lblAlgn val="ctr"/>
        <c:lblOffset val="100"/>
        <c:noMultiLvlLbl val="0"/>
      </c:catAx>
      <c:valAx>
        <c:axId val="84473455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735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74385-22CA-4019-88A8-86F0EC8A0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4128</Words>
  <Characters>23532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Samridhi Yadav</dc:creator>
  <cp:keywords/>
  <dc:description/>
  <cp:lastModifiedBy>ADARSH THAKUR</cp:lastModifiedBy>
  <cp:revision>6</cp:revision>
  <dcterms:created xsi:type="dcterms:W3CDTF">2025-03-03T06:08:00Z</dcterms:created>
  <dcterms:modified xsi:type="dcterms:W3CDTF">2025-03-03T06:23:00Z</dcterms:modified>
</cp:coreProperties>
</file>