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sz w:val="50"/>
          <w:szCs w:val="50"/>
        </w:rPr>
      </w:pPr>
      <w:bookmarkStart w:colFirst="0" w:colLast="0" w:name="_drbrfgrpb0ty" w:id="0"/>
      <w:bookmarkEnd w:id="0"/>
      <w:r w:rsidDel="00000000" w:rsidR="00000000" w:rsidRPr="00000000">
        <w:rPr>
          <w:sz w:val="50"/>
          <w:szCs w:val="50"/>
          <w:rtl w:val="0"/>
        </w:rPr>
        <w:t xml:space="preserve">StockGro Final Project Report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pv2ohvmzg11u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Methodology and Models Used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a time series forecasting and risk-aware portfolio construction with historical stock data (2020–2024). We use the following models: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ARIMA:</w:t>
      </w:r>
      <w:r w:rsidDel="00000000" w:rsidR="00000000" w:rsidRPr="00000000">
        <w:rPr>
          <w:sz w:val="24"/>
          <w:szCs w:val="24"/>
          <w:rtl w:val="0"/>
        </w:rPr>
        <w:t xml:space="preserve"> Linear model to account for the autocorrelations and tuned with default (5,1,0) order.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Prophet:</w:t>
      </w:r>
      <w:r w:rsidDel="00000000" w:rsidR="00000000" w:rsidRPr="00000000">
        <w:rPr>
          <w:sz w:val="24"/>
          <w:szCs w:val="24"/>
          <w:rtl w:val="0"/>
        </w:rPr>
        <w:t xml:space="preserve"> Additive model is appropriate for trend and seasonality and is based on 2-day ahead forecast.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LSTM:</w:t>
      </w:r>
      <w:r w:rsidDel="00000000" w:rsidR="00000000" w:rsidRPr="00000000">
        <w:rPr>
          <w:sz w:val="24"/>
          <w:szCs w:val="24"/>
          <w:rtl w:val="0"/>
        </w:rPr>
        <w:t xml:space="preserve"> DLM using sequences of 60 days – to predict 2 next days. DL-model for non-linear temporal patterns.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evaluation metrics are MAPE, RMSE, and directional accuracy. Portfolio allocation incorporates forecast-driven allocation and volatility sensitive sizing.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Stock Selection Rationale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selected 10 diversified NSE-listed stocks based on: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Sector coverage (IT, banking, FMCG, energy, pharma, auto, infra)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Volatility and trend decomposition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Popularity and liquidity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Stocks by Sector:</w:t>
      </w:r>
    </w:p>
    <w:p w:rsidR="00000000" w:rsidDel="00000000" w:rsidP="00000000" w:rsidRDefault="00000000" w:rsidRPr="00000000" w14:paraId="0000000F">
      <w:pPr>
        <w:spacing w:after="240" w:before="240"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Stocks</w:t>
        <w:tab/>
        <w:tab/>
        <w:tab/>
        <w:t xml:space="preserve">Sector</w:t>
      </w:r>
    </w:p>
    <w:p w:rsidR="00000000" w:rsidDel="00000000" w:rsidP="00000000" w:rsidRDefault="00000000" w:rsidRPr="00000000" w14:paraId="00000010">
      <w:pPr>
        <w:spacing w:after="240" w:before="240" w:line="12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RELIANCE.NS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Energy</w:t>
      </w:r>
    </w:p>
    <w:p w:rsidR="00000000" w:rsidDel="00000000" w:rsidP="00000000" w:rsidRDefault="00000000" w:rsidRPr="00000000" w14:paraId="00000011">
      <w:pPr>
        <w:spacing w:after="240" w:before="240" w:line="12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INFY.NS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IT</w:t>
      </w:r>
    </w:p>
    <w:p w:rsidR="00000000" w:rsidDel="00000000" w:rsidP="00000000" w:rsidRDefault="00000000" w:rsidRPr="00000000" w14:paraId="00000012">
      <w:pPr>
        <w:spacing w:after="240" w:before="240" w:line="12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HDFCBANK.NS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Banking</w:t>
      </w:r>
    </w:p>
    <w:p w:rsidR="00000000" w:rsidDel="00000000" w:rsidP="00000000" w:rsidRDefault="00000000" w:rsidRPr="00000000" w14:paraId="00000013">
      <w:pPr>
        <w:spacing w:after="240"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TCS.NSIT</w:t>
        <w:tab/>
        <w:tab/>
        <w:tab/>
        <w:t xml:space="preserve">IT</w:t>
      </w:r>
    </w:p>
    <w:p w:rsidR="00000000" w:rsidDel="00000000" w:rsidP="00000000" w:rsidRDefault="00000000" w:rsidRPr="00000000" w14:paraId="00000014">
      <w:pPr>
        <w:spacing w:after="240" w:before="240" w:line="12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ITC.NS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FMGC</w:t>
      </w:r>
    </w:p>
    <w:p w:rsidR="00000000" w:rsidDel="00000000" w:rsidP="00000000" w:rsidRDefault="00000000" w:rsidRPr="00000000" w14:paraId="00000015">
      <w:pPr>
        <w:spacing w:after="240" w:before="240" w:line="12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LT.NS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Infra</w:t>
      </w:r>
    </w:p>
    <w:p w:rsidR="00000000" w:rsidDel="00000000" w:rsidP="00000000" w:rsidRDefault="00000000" w:rsidRPr="00000000" w14:paraId="00000016">
      <w:pPr>
        <w:spacing w:after="240" w:before="240" w:line="12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SUNPHARMA.NS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Pharma</w:t>
      </w:r>
    </w:p>
    <w:p w:rsidR="00000000" w:rsidDel="00000000" w:rsidP="00000000" w:rsidRDefault="00000000" w:rsidRPr="00000000" w14:paraId="00000017">
      <w:pPr>
        <w:spacing w:after="240" w:before="240" w:line="12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MARUTI.NS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Auto</w:t>
      </w:r>
    </w:p>
    <w:p w:rsidR="00000000" w:rsidDel="00000000" w:rsidP="00000000" w:rsidRDefault="00000000" w:rsidRPr="00000000" w14:paraId="00000018">
      <w:pPr>
        <w:spacing w:after="240" w:before="240" w:line="12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ADANIGREEN.NS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Renewable Energy</w:t>
      </w:r>
    </w:p>
    <w:p w:rsidR="00000000" w:rsidDel="00000000" w:rsidP="00000000" w:rsidRDefault="00000000" w:rsidRPr="00000000" w14:paraId="00000019">
      <w:pPr>
        <w:spacing w:after="240" w:before="240" w:line="120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HINDUNILVR.NS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FMCG</w:t>
      </w:r>
    </w:p>
    <w:p w:rsidR="00000000" w:rsidDel="00000000" w:rsidP="00000000" w:rsidRDefault="00000000" w:rsidRPr="00000000" w14:paraId="0000001A">
      <w:pPr>
        <w:spacing w:after="240" w:before="240" w:line="12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duywzgpgaafy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Forecast Results and Confidence Intervals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We forecasted 2 trading days ahead using ARIMA, Prophet, and LSTM. Here’s a sample comparison for INFY: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| Model</w:t>
        <w:tab/>
        <w:t xml:space="preserve">| MAPE </w:t>
        <w:tab/>
        <w:t xml:space="preserve">| RMSE</w:t>
        <w:tab/>
        <w:t xml:space="preserve">| Direction Accuracy</w:t>
        <w:tab/>
      </w:r>
      <w:r w:rsidDel="00000000" w:rsidR="00000000" w:rsidRPr="00000000">
        <w:rPr>
          <w:sz w:val="24"/>
          <w:szCs w:val="24"/>
          <w:rtl w:val="0"/>
        </w:rPr>
        <w:t xml:space="preserve">|</w:t>
        <w:br w:type="textWrapping"/>
        <w:t xml:space="preserve"> |----------------</w:t>
        <w:tab/>
        <w:t xml:space="preserve">|-----------------</w:t>
        <w:tab/>
        <w:t xml:space="preserve">|-----------------</w:t>
        <w:tab/>
        <w:t xml:space="preserve">|-----------------------------------</w:t>
        <w:tab/>
        <w:t xml:space="preserve">|</w:t>
        <w:br w:type="textWrapping"/>
        <w:t xml:space="preserve"> | ARIMA  </w:t>
        <w:tab/>
        <w:t xml:space="preserve">| 0.0083 </w:t>
        <w:tab/>
        <w:t xml:space="preserve">|  12.56    </w:t>
        <w:tab/>
        <w:t xml:space="preserve">|          Yes</w:t>
        <w:tab/>
        <w:t xml:space="preserve">        </w:t>
        <w:tab/>
        <w:tab/>
        <w:t xml:space="preserve">|</w:t>
        <w:br w:type="textWrapping"/>
        <w:t xml:space="preserve"> | Prophet </w:t>
        <w:tab/>
        <w:t xml:space="preserve">| 0.0921</w:t>
        <w:tab/>
        <w:t xml:space="preserve">|  29.03    </w:t>
        <w:tab/>
        <w:t xml:space="preserve">|          No                 </w:t>
        <w:tab/>
        <w:t xml:space="preserve">|</w:t>
        <w:br w:type="textWrapping"/>
        <w:t xml:space="preserve"> | LSTM    </w:t>
        <w:tab/>
        <w:t xml:space="preserve">| 0.0045</w:t>
        <w:tab/>
        <w:t xml:space="preserve">|  10.14    </w:t>
        <w:tab/>
        <w:t xml:space="preserve">|          Yes</w:t>
        <w:tab/>
        <w:t xml:space="preserve">        </w:t>
        <w:tab/>
        <w:tab/>
        <w:t xml:space="preserve">|</w:t>
        <w:br w:type="textWrapping"/>
        <w:br w:type="textWrapping"/>
        <w:t xml:space="preserve">Prophet tends to underperform due to trend extrapolation. LSTM generally had the lowest errors.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vd0eafl53q3v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Portfolio Composition and Rationale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Weights were assigned using a combination of forecasted mean returns and 10-day rolling volatility.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| Stock</w:t>
        <w:tab/>
        <w:tab/>
        <w:t xml:space="preserve">| Weight (%) </w:t>
        <w:tab/>
        <w:t xml:space="preserve">|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|-------------------------|------------------|</w:t>
        <w:br w:type="textWrapping"/>
        <w:t xml:space="preserve"> | INFY.NS   </w:t>
        <w:tab/>
        <w:tab/>
        <w:t xml:space="preserve">|      14.7   </w:t>
        <w:tab/>
        <w:t xml:space="preserve">|</w:t>
        <w:br w:type="textWrapping"/>
        <w:t xml:space="preserve"> |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SUNPHARMA.NS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|      13.4   </w:t>
        <w:tab/>
        <w:t xml:space="preserve">|</w:t>
        <w:br w:type="textWrapping"/>
        <w:t xml:space="preserve"> | TCS.NS    </w:t>
        <w:tab/>
        <w:tab/>
        <w:t xml:space="preserve">|      12.2   </w:t>
        <w:tab/>
        <w:t xml:space="preserve">|</w:t>
        <w:br w:type="textWrapping"/>
        <w:t xml:space="preserve"> | MARUTI.NS </w:t>
        <w:tab/>
        <w:t xml:space="preserve">|      11.8</w:t>
        <w:tab/>
        <w:t xml:space="preserve">|</w:t>
        <w:br w:type="textWrapping"/>
        <w:t xml:space="preserve"> | ITC.NS    </w:t>
        <w:tab/>
        <w:tab/>
        <w:t xml:space="preserve">|      10.6   </w:t>
        <w:tab/>
        <w:t xml:space="preserve">|</w:t>
        <w:br w:type="textWrapping"/>
        <w:t xml:space="preserve"> | RELIANCE.NS   </w:t>
        <w:tab/>
        <w:t xml:space="preserve">|      10.1   </w:t>
        <w:tab/>
        <w:t xml:space="preserve">|</w:t>
        <w:br w:type="textWrapping"/>
        <w:t xml:space="preserve"> | ADANIGREEN.NS|      9.4</w:t>
        <w:tab/>
        <w:t xml:space="preserve">|</w:t>
        <w:br w:type="textWrapping"/>
        <w:t xml:space="preserve"> | LT.NS     </w:t>
        <w:tab/>
        <w:tab/>
        <w:t xml:space="preserve">|      8.3</w:t>
        <w:tab/>
        <w:t xml:space="preserve">|</w:t>
        <w:br w:type="textWrapping"/>
        <w:t xml:space="preserve"> | HDFCBANK.NS   </w:t>
        <w:tab/>
        <w:t xml:space="preserve">|      5.4</w:t>
        <w:tab/>
        <w:t xml:space="preserve">|</w:t>
        <w:br w:type="textWrapping"/>
        <w:t xml:space="preserve"> | HINDUNILVR.NS </w:t>
        <w:tab/>
        <w:t xml:space="preserve">|     4.1</w:t>
        <w:tab/>
        <w:t xml:space="preserve">|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0"/>
          <w:szCs w:val="30"/>
          <w:rtl w:val="0"/>
        </w:rPr>
        <w:t xml:space="preserve">Performance on StockGro</w:t>
      </w:r>
    </w:p>
    <w:p w:rsidR="00000000" w:rsidDel="00000000" w:rsidP="00000000" w:rsidRDefault="00000000" w:rsidRPr="00000000" w14:paraId="00000020">
      <w:pPr>
        <w:spacing w:after="240" w:before="240" w:line="144" w:lineRule="auto"/>
        <w:rPr/>
      </w:pPr>
      <w:r w:rsidDel="00000000" w:rsidR="00000000" w:rsidRPr="00000000">
        <w:rPr>
          <w:rtl w:val="0"/>
        </w:rPr>
        <w:t xml:space="preserve">Total Turnover: ₹79,99,385.15</w:t>
      </w:r>
    </w:p>
    <w:p w:rsidR="00000000" w:rsidDel="00000000" w:rsidP="00000000" w:rsidRDefault="00000000" w:rsidRPr="00000000" w14:paraId="00000021">
      <w:pPr>
        <w:spacing w:after="240" w:before="240" w:line="144" w:lineRule="auto"/>
        <w:rPr/>
      </w:pPr>
      <w:r w:rsidDel="00000000" w:rsidR="00000000" w:rsidRPr="00000000">
        <w:rPr>
          <w:rtl w:val="0"/>
        </w:rPr>
        <w:t xml:space="preserve">Transaction Charges: ₹7,614.85</w:t>
      </w:r>
    </w:p>
    <w:p w:rsidR="00000000" w:rsidDel="00000000" w:rsidP="00000000" w:rsidRDefault="00000000" w:rsidRPr="00000000" w14:paraId="00000022">
      <w:pPr>
        <w:spacing w:after="240" w:before="240" w:line="144" w:lineRule="auto"/>
        <w:rPr/>
      </w:pPr>
      <w:r w:rsidDel="00000000" w:rsidR="00000000" w:rsidRPr="00000000">
        <w:rPr>
          <w:rtl w:val="0"/>
        </w:rPr>
        <w:t xml:space="preserve">Net Portfolio Value: ₹79,76,297.61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 profitable trades: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SUNPHARMA: ₹7,300.44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ADANIGREEN: ₹727.99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INFY: ₹735.24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MARUTI: ₹128.30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ITC: ₹117.80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Major losses were small (e.g., HINDUNILVR: -₹105.80).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yam10ot1kpfe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Model Accuracy and Prediction vs Reality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ARIMA and LSTM were reliable. Prophet underperformed on short horizons.</w:t>
        <w:br w:type="textWrapping"/>
        <w:br w:type="textWrapping"/>
        <w:t xml:space="preserve">Example (INFY last 2 days):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Actual: ₹1556.68 → ₹1569.45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LSTM: ₹1554.01 → ₹1568.99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Prophet: over-smoothed trend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LSTM outperformed due to better handling of short-term volatility.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51qsf7hgcw4u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Reflections: What Worked, What Didn’t, What You’d Improve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Worked: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forecasts were closest to actual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Volatility-aware allocation reduced losses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Sectoral diversification mitigated risk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What Didn’t: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Prophet was weak for 2-day horizons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trades (e.g. HINDUNILVR) gave unexpected outcomes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Improvements: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log returns as features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ensemble models for better stability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GARCH for volatility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5vntsoq2gqfv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Some visual comparisons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383280" cy="168036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680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6023" cy="210312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023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64992" cy="210312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3280" cy="20862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08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6023" cy="21031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023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6023" cy="21031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023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6023" cy="210312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023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6023" cy="210312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023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75508" cy="210312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508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96539" cy="210312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539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144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9.png"/><Relationship Id="rId21" Type="http://schemas.openxmlformats.org/officeDocument/2006/relationships/image" Target="media/image3.png"/><Relationship Id="rId24" Type="http://schemas.openxmlformats.org/officeDocument/2006/relationships/image" Target="media/image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tc.ns" TargetMode="External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reliance.ns" TargetMode="External"/><Relationship Id="rId7" Type="http://schemas.openxmlformats.org/officeDocument/2006/relationships/hyperlink" Target="http://infy.ns" TargetMode="External"/><Relationship Id="rId8" Type="http://schemas.openxmlformats.org/officeDocument/2006/relationships/hyperlink" Target="http://hdfcbank.ns" TargetMode="External"/><Relationship Id="rId11" Type="http://schemas.openxmlformats.org/officeDocument/2006/relationships/hyperlink" Target="http://sunpharma.ns" TargetMode="External"/><Relationship Id="rId10" Type="http://schemas.openxmlformats.org/officeDocument/2006/relationships/hyperlink" Target="http://lt.ns" TargetMode="External"/><Relationship Id="rId13" Type="http://schemas.openxmlformats.org/officeDocument/2006/relationships/hyperlink" Target="http://adanigreen.ns" TargetMode="External"/><Relationship Id="rId12" Type="http://schemas.openxmlformats.org/officeDocument/2006/relationships/hyperlink" Target="http://maruti.ns" TargetMode="External"/><Relationship Id="rId15" Type="http://schemas.openxmlformats.org/officeDocument/2006/relationships/hyperlink" Target="http://sunpharma.ns" TargetMode="External"/><Relationship Id="rId14" Type="http://schemas.openxmlformats.org/officeDocument/2006/relationships/hyperlink" Target="http://hindunilvr.ns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19" Type="http://schemas.openxmlformats.org/officeDocument/2006/relationships/image" Target="media/image1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