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8"/>
          <w:szCs w:val="48"/>
        </w:rPr>
        <w:t xml:space="preserve">Uttarakhand</w:t>
      </w:r>
    </w:p>
    <w:p>
      <w:pPr>
        <w:spacing w:after="200"/>
      </w:pPr>
      <w:r>
        <w:rPr>
          <w:b/>
          <w:bCs/>
          <w:color w:val="2E75B6"/>
          <w:sz w:val="36"/>
          <w:szCs w:val="36"/>
        </w:rPr>
        <w:t xml:space="preserve">State E-Waste Management Report</w:t>
      </w:r>
    </w:p>
    <w:p>
      <w:pPr>
        <w:spacing w:after="240"/>
      </w:pPr>
      <w:r>
        <w:rPr>
          <w:color w:val="808080"/>
          <w:sz w:val="20"/>
          <w:szCs w:val="20"/>
        </w:rPr>
        <w:t xml:space="preserve">Reporting Period: FY 2025–26   |   Compiled: 20 July 2026</w:t>
      </w:r>
    </w:p>
    <w:p>
      <w:pPr>
        <w:spacing w:after="40" w:before="80"/>
      </w:pPr>
      <w:r>
        <w:rPr>
          <w:b/>
          <w:bCs/>
          <w:color w:val="9C6500"/>
          <w:sz w:val="18"/>
          <w:szCs w:val="18"/>
        </w:rPr>
        <w:t xml:space="preserve">IMPORTANT — SAMPLE DATA NOTICE</w:t>
      </w:r>
    </w:p>
    <w:p>
      <w:pPr>
        <w:pBdr>
          <w:left w:val="single" w:color="C9A227" w:sz="12" w:space="8"/>
        </w:pBdr>
        <w:spacing w:after="240" w:before="80"/>
        <w:ind w:left="120"/>
      </w:pPr>
      <w:r>
        <w:rPr>
          <w:i/>
          <w:iCs/>
          <w:color w:val="808080"/>
          <w:sz w:val="18"/>
          <w:szCs w:val="18"/>
        </w:rPr>
        <w:t xml:space="preserve">This report is compiled entirely from an illustrative sample workbook, not from official CPCB (Central Pollution Control Board) or Uttarakhand State Pollution Control Board (SPCB) records. District figures, recycler names, EPR registration numbers, and compliance data are fictional placeholders built to demonstrate report structure and calculations. Real district-wise e-waste data of this granularity is not currently published by the Government of India — generation is estimated only at the national level. Treat every number below as a template example, and replace with verified figures from the SPCB before any official use.</w:t>
      </w:r>
    </w:p>
    <w:p>
      <w:pPr>
        <w:spacing w:after="200"/>
      </w:pPr>
    </w:p>
    <w:p>
      <w:pPr>
        <w:pStyle w:val="Heading1"/>
        <w:spacing w:after="160" w:before="320"/>
      </w:pPr>
      <w:r>
        <w:t xml:space="preserve">1. Executive Summary</w:t>
      </w:r>
    </w:p>
    <w:p>
      <w:pPr>
        <w:spacing w:after="160"/>
      </w:pPr>
      <w:r>
        <w:t xml:space="preserve">Uttarakhand's state e-waste management performance, as compiled across seven monitoring dimensions, scores 73.2 out of 100 — placed in the “Good” band (65–84). Generation inventory and formal recycling capacity utilization are the strongest areas, while informal-sector integration and collection coverage remain the most significant gaps.</w:t>
      </w:r>
    </w:p>
    <w:p>
      <w:pPr>
        <w:spacing w:after="40" w:before="120"/>
      </w:pPr>
      <w:r>
        <w:rPr>
          <w:b/>
          <w:bCs/>
          <w:sz w:val="22"/>
          <w:szCs w:val="22"/>
        </w:rPr>
        <w:t xml:space="preserve">State E-Waste Management Score:  </w:t>
      </w:r>
    </w:p>
    <w:p>
      <w:pPr>
        <w:spacing w:after="240"/>
      </w:pPr>
      <w:r>
        <w:rPr>
          <w:b/>
          <w:bCs/>
          <w:color w:val="1F4E78"/>
          <w:sz w:val="44"/>
          <w:szCs w:val="44"/>
        </w:rPr>
        <w:t xml:space="preserve">73.2 / 100</w:t>
      </w:r>
      <w:r>
        <w:rPr>
          <w:b/>
          <w:bCs/>
          <w:color w:val="2E7D32"/>
          <w:sz w:val="24"/>
          <w:szCs w:val="24"/>
        </w:rPr>
        <w:t xml:space="preserve">   GOOD</w:t>
      </w:r>
    </w:p>
    <w:p>
      <w:pPr>
        <w:spacing w:after="160"/>
      </w:pPr>
      <w:r>
        <w:rPr>
          <w:b/>
          <w:bCs/>
        </w:rPr>
        <w:t xml:space="preserve">Key figures across the reporting sheets:</w:t>
      </w:r>
    </w:p>
    <w:p>
      <w:pPr>
        <w:pStyle w:val="ListParagraph"/>
        <w:numPr>
          <w:ilvl w:val="0"/>
          <w:numId w:val="1"/>
        </w:numPr>
        <w:spacing w:after="80"/>
      </w:pPr>
      <w:r>
        <w:t xml:space="preserve">Total e-waste generated (13 districts): 3,370,000 kg (≈3,370 tonnes), from a base population of ≈10.08 million</w:t>
      </w:r>
    </w:p>
    <w:p>
      <w:pPr>
        <w:pStyle w:val="ListParagraph"/>
        <w:numPr>
          <w:ilvl w:val="0"/>
          <w:numId w:val="1"/>
        </w:numPr>
        <w:spacing w:after="80"/>
      </w:pPr>
      <w:r>
        <w:t xml:space="preserve">Total collected: 1,463,000 kg — a state-wide collection rate of 43.4% of generation</w:t>
      </w:r>
    </w:p>
    <w:p>
      <w:pPr>
        <w:pStyle w:val="ListParagraph"/>
        <w:numPr>
          <w:ilvl w:val="0"/>
          <w:numId w:val="1"/>
        </w:numPr>
        <w:spacing w:after="80"/>
      </w:pPr>
      <w:r>
        <w:t xml:space="preserve">EPR collection target vs. achieved: 1,944,000 kg target vs. 1,291,000 kg achieved (66.4% of target)</w:t>
      </w:r>
    </w:p>
    <w:p>
      <w:pPr>
        <w:pStyle w:val="ListParagraph"/>
        <w:numPr>
          <w:ilvl w:val="0"/>
          <w:numId w:val="1"/>
        </w:numPr>
        <w:spacing w:after="80"/>
      </w:pPr>
      <w:r>
        <w:t xml:space="preserve">Installed formal recycling capacity: 27,600 tonnes/yr across 10 authorized recyclers; 16,300 tonnes processed this year (59.1% capacity utilization), at a weighted average material recovery rate of 75.4%</w:t>
      </w:r>
    </w:p>
    <w:p>
      <w:pPr>
        <w:pStyle w:val="ListParagraph"/>
        <w:numPr>
          <w:ilvl w:val="0"/>
          <w:numId w:val="1"/>
        </w:numPr>
        <w:spacing w:after="80"/>
      </w:pPr>
      <w:r>
        <w:t xml:space="preserve">EPR compliance: 6 of 10 registered producers fully Compliant (60%); 2 Partially Compliant; 1 Non-Compliant; 1 Under Review</w:t>
      </w:r>
    </w:p>
    <w:p>
      <w:pPr>
        <w:pStyle w:val="ListParagraph"/>
        <w:numPr>
          <w:ilvl w:val="0"/>
          <w:numId w:val="1"/>
        </w:numPr>
        <w:spacing w:after="80"/>
      </w:pPr>
      <w:r>
        <w:t xml:space="preserve">Informal sector: 8 known hotspots, an estimated 555 informal workers, of whom 186 (33.5%) are registered/trained under formalization programs; only 1 hotspot fully formalized</w:t>
      </w:r>
    </w:p>
    <w:p>
      <w:pPr>
        <w:pStyle w:val="ListParagraph"/>
        <w:numPr>
          <w:ilvl w:val="0"/>
          <w:numId w:val="1"/>
        </w:numPr>
        <w:spacing w:after="80"/>
      </w:pPr>
      <w:r>
        <w:t xml:space="preserve">Environmental &amp; health monitoring: 7 hotspot sites monitored, health camps conducted at 5 (71.4%), screening 940 beneficiaries; 3 of 7 sites showed contamination exceeding safe limits</w:t>
      </w:r>
    </w:p>
    <w:p>
      <w:pPr>
        <w:pStyle w:val="ListParagraph"/>
        <w:numPr>
          <w:ilvl w:val="0"/>
          <w:numId w:val="1"/>
        </w:numPr>
        <w:spacing w:after="80"/>
      </w:pPr>
      <w:r>
        <w:t xml:space="preserve">Awareness &amp; outreach: 8 programs conducted, reaching 8,175 participants, including 3 formal collection drives (school/RWA)</w:t>
      </w:r>
    </w:p>
    <w:p>
      <w:pPr>
        <w:spacing w:after="160"/>
      </w:pPr>
    </w:p>
    <w:p>
      <w:pPr>
        <w:pStyle w:val="Heading1"/>
        <w:spacing w:after="160" w:before="320"/>
      </w:pPr>
      <w:r>
        <w:t xml:space="preserve">2. State Scorecard</w:t>
      </w:r>
    </w:p>
    <w:p>
      <w:pPr>
        <w:spacing w:after="160"/>
      </w:pPr>
      <w:r>
        <w:t xml:space="preserve">The scorecard weights seven categories to 100 points total. Each category's achieved value is drawn directly from the corresponding data sheet totals; achievement is capped at 100% of benchmark for scoring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434"/>
        <w:gridCol w:w="842"/>
        <w:gridCol w:w="1498"/>
        <w:gridCol w:w="1498"/>
        <w:gridCol w:w="1310"/>
        <w:gridCol w:w="1310"/>
      </w:tblGrid>
      <w:tr>
        <w:trPr>
          <w:tblHeader/>
        </w:trPr>
        <w:tc>
          <w:tcPr>
            <w:tcW w:type="dxa" w:w="468"/>
            <w:shd w:fill="1F4E78" w:color="auto" w:val="clear"/>
            <w:tcMar>
              <w:top w:type="dxa" w:w="60"/>
              <w:left w:type="dxa" w:w="80"/>
              <w:bottom w:type="dxa" w:w="60"/>
              <w:right w:type="dxa" w:w="80"/>
            </w:tcMar>
            <w:vAlign w:val="center"/>
          </w:tcPr>
          <w:p>
            <w:pPr>
              <w:jc w:val="left"/>
            </w:pPr>
            <w:r>
              <w:rPr>
                <w:b/>
                <w:bCs/>
                <w:color w:val="FFFFFF"/>
                <w:sz w:val="18"/>
                <w:szCs w:val="18"/>
              </w:rPr>
              <w:t xml:space="preserve">#</w:t>
            </w:r>
          </w:p>
        </w:tc>
        <w:tc>
          <w:tcPr>
            <w:tcW w:type="dxa" w:w="2434"/>
            <w:shd w:fill="1F4E78" w:color="auto" w:val="clear"/>
            <w:tcMar>
              <w:top w:type="dxa" w:w="60"/>
              <w:left w:type="dxa" w:w="80"/>
              <w:bottom w:type="dxa" w:w="60"/>
              <w:right w:type="dxa" w:w="80"/>
            </w:tcMar>
            <w:vAlign w:val="center"/>
          </w:tcPr>
          <w:p>
            <w:pPr>
              <w:jc w:val="left"/>
            </w:pPr>
            <w:r>
              <w:rPr>
                <w:b/>
                <w:bCs/>
                <w:color w:val="FFFFFF"/>
                <w:sz w:val="18"/>
                <w:szCs w:val="18"/>
              </w:rPr>
              <w:t xml:space="preserve">Category</w:t>
            </w:r>
          </w:p>
        </w:tc>
        <w:tc>
          <w:tcPr>
            <w:tcW w:type="dxa" w:w="842"/>
            <w:shd w:fill="1F4E78" w:color="auto" w:val="clear"/>
            <w:tcMar>
              <w:top w:type="dxa" w:w="60"/>
              <w:left w:type="dxa" w:w="80"/>
              <w:bottom w:type="dxa" w:w="60"/>
              <w:right w:type="dxa" w:w="80"/>
            </w:tcMar>
            <w:vAlign w:val="center"/>
          </w:tcPr>
          <w:p>
            <w:pPr>
              <w:jc w:val="left"/>
            </w:pPr>
            <w:r>
              <w:rPr>
                <w:b/>
                <w:bCs/>
                <w:color w:val="FFFFFF"/>
                <w:sz w:val="18"/>
                <w:szCs w:val="18"/>
              </w:rPr>
              <w:t xml:space="preserve">Weight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Benchmark / Target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Achieved Value</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Achievement %</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Score Earned</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1</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Generation &amp; Inventory</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13 districts</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13 districts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15.0</w:t>
            </w:r>
          </w:p>
        </w:tc>
      </w:tr>
      <w:tr>
        <w:tc>
          <w:tcPr>
            <w:tcW w:type="dxa" w:w="468"/>
            <w:shd w:fill="EAF1F8" w:color="auto" w:val="clear"/>
            <w:tcMar>
              <w:top w:type="dxa" w:w="50"/>
              <w:left w:type="dxa" w:w="80"/>
              <w:bottom w:type="dxa" w:w="50"/>
              <w:right w:type="dxa" w:w="80"/>
            </w:tcMar>
            <w:vAlign w:val="center"/>
          </w:tcPr>
          <w:p>
            <w:pPr>
              <w:jc w:val="left"/>
            </w:pPr>
            <w:r>
              <w:rPr>
                <w:b w:val="false"/>
                <w:bCs w:val="false"/>
                <w:sz w:val="17"/>
                <w:szCs w:val="17"/>
              </w:rPr>
              <w:t xml:space="preserve">2</w:t>
            </w:r>
          </w:p>
        </w:tc>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Collection Performance</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43.4%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43.4%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8.7</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3</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Formal Recycling &amp; Treatment</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20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1,114.1%*</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20.0</w:t>
            </w:r>
          </w:p>
        </w:tc>
      </w:tr>
      <w:tr>
        <w:tc>
          <w:tcPr>
            <w:tcW w:type="dxa" w:w="468"/>
            <w:shd w:fill="EAF1F8" w:color="auto" w:val="clear"/>
            <w:tcMar>
              <w:top w:type="dxa" w:w="50"/>
              <w:left w:type="dxa" w:w="80"/>
              <w:bottom w:type="dxa" w:w="50"/>
              <w:right w:type="dxa" w:w="80"/>
            </w:tcMar>
            <w:vAlign w:val="center"/>
          </w:tcPr>
          <w:p>
            <w:pPr>
              <w:jc w:val="left"/>
            </w:pPr>
            <w:r>
              <w:rPr>
                <w:b w:val="false"/>
                <w:bCs w:val="false"/>
                <w:sz w:val="17"/>
                <w:szCs w:val="17"/>
              </w:rPr>
              <w:t xml:space="preserve">4</w:t>
            </w:r>
          </w:p>
        </w:tc>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Regulatory Compliance</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15</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60.0%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60.0%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9.0</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5</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Informal Sector Integration</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33.5%</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33.5%</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3.4</w:t>
            </w:r>
          </w:p>
        </w:tc>
      </w:tr>
      <w:tr>
        <w:tc>
          <w:tcPr>
            <w:tcW w:type="dxa" w:w="468"/>
            <w:shd w:fill="EAF1F8" w:color="auto" w:val="clear"/>
            <w:tcMar>
              <w:top w:type="dxa" w:w="50"/>
              <w:left w:type="dxa" w:w="80"/>
              <w:bottom w:type="dxa" w:w="50"/>
              <w:right w:type="dxa" w:w="80"/>
            </w:tcMar>
            <w:vAlign w:val="center"/>
          </w:tcPr>
          <w:p>
            <w:pPr>
              <w:jc w:val="left"/>
            </w:pPr>
            <w:r>
              <w:rPr>
                <w:b w:val="false"/>
                <w:bCs w:val="false"/>
                <w:sz w:val="17"/>
                <w:szCs w:val="17"/>
              </w:rPr>
              <w:t xml:space="preserve">6</w:t>
            </w:r>
          </w:p>
        </w:tc>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Environmental &amp; Health Safeguards</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10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71.4%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71.4%</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7.1</w:t>
            </w:r>
          </w:p>
        </w:tc>
      </w:tr>
      <w:tr>
        <w:tc>
          <w:tcPr>
            <w:tcW w:type="dxa" w:w="468"/>
            <w:shd w:fill="FFFFFF" w:color="auto" w:val="clear"/>
            <w:tcMar>
              <w:top w:type="dxa" w:w="50"/>
              <w:left w:type="dxa" w:w="80"/>
              <w:bottom w:type="dxa" w:w="50"/>
              <w:right w:type="dxa" w:w="80"/>
            </w:tcMar>
            <w:vAlign w:val="center"/>
          </w:tcPr>
          <w:p>
            <w:pPr>
              <w:jc w:val="left"/>
            </w:pPr>
            <w:r>
              <w:rPr>
                <w:b w:val="false"/>
                <w:bCs w:val="false"/>
                <w:sz w:val="17"/>
                <w:szCs w:val="17"/>
              </w:rPr>
              <w:t xml:space="preserve">7</w:t>
            </w:r>
          </w:p>
        </w:tc>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Awareness &amp; Outreach</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5,000 people</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8,175 people</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10.0</w:t>
            </w:r>
          </w:p>
        </w:tc>
      </w:tr>
      <w:tr>
        <w:tc>
          <w:tcPr>
            <w:tcW w:type="dxa" w:w="468"/>
            <w:shd w:fill="D9E2F3" w:color="auto" w:val="clear"/>
            <w:tcMar>
              <w:top w:type="dxa" w:w="50"/>
              <w:left w:type="dxa" w:w="80"/>
              <w:bottom w:type="dxa" w:w="50"/>
              <w:right w:type="dxa" w:w="80"/>
            </w:tcMar>
            <w:vAlign w:val="center"/>
          </w:tcPr>
          <w:p>
            <w:pPr>
              <w:jc w:val="left"/>
            </w:pPr>
            <w:r>
              <w:rPr>
                <w:b/>
                <w:bCs/>
                <w:sz w:val="17"/>
                <w:szCs w:val="17"/>
              </w:rPr>
              <w:t xml:space="preserve"/>
            </w:r>
          </w:p>
        </w:tc>
        <w:tc>
          <w:tcPr>
            <w:tcW w:type="dxa" w:w="2434"/>
            <w:shd w:fill="D9E2F3" w:color="auto" w:val="clear"/>
            <w:tcMar>
              <w:top w:type="dxa" w:w="50"/>
              <w:left w:type="dxa" w:w="80"/>
              <w:bottom w:type="dxa" w:w="50"/>
              <w:right w:type="dxa" w:w="80"/>
            </w:tcMar>
            <w:vAlign w:val="center"/>
          </w:tcPr>
          <w:p>
            <w:pPr>
              <w:jc w:val="left"/>
            </w:pPr>
            <w:r>
              <w:rPr>
                <w:b/>
                <w:bCs/>
                <w:sz w:val="17"/>
                <w:szCs w:val="17"/>
              </w:rPr>
              <w:t xml:space="preserve">TOTAL SCORE</w:t>
            </w:r>
          </w:p>
        </w:tc>
        <w:tc>
          <w:tcPr>
            <w:tcW w:type="dxa" w:w="842"/>
            <w:shd w:fill="D9E2F3" w:color="auto" w:val="clear"/>
            <w:tcMar>
              <w:top w:type="dxa" w:w="50"/>
              <w:left w:type="dxa" w:w="80"/>
              <w:bottom w:type="dxa" w:w="50"/>
              <w:right w:type="dxa" w:w="80"/>
            </w:tcMar>
            <w:vAlign w:val="center"/>
          </w:tcPr>
          <w:p>
            <w:pPr>
              <w:jc w:val="right"/>
            </w:pPr>
            <w:r>
              <w:rPr>
                <w:b/>
                <w:bCs/>
                <w:sz w:val="17"/>
                <w:szCs w:val="17"/>
              </w:rPr>
              <w:t xml:space="preserve">100</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
            </w:r>
          </w:p>
        </w:tc>
        <w:tc>
          <w:tcPr>
            <w:tcW w:type="dxa" w:w="1310"/>
            <w:shd w:fill="D9E2F3" w:color="auto" w:val="clear"/>
            <w:tcMar>
              <w:top w:type="dxa" w:w="50"/>
              <w:left w:type="dxa" w:w="80"/>
              <w:bottom w:type="dxa" w:w="50"/>
              <w:right w:type="dxa" w:w="80"/>
            </w:tcMar>
            <w:vAlign w:val="center"/>
          </w:tcPr>
          <w:p>
            <w:pPr>
              <w:jc w:val="right"/>
            </w:pPr>
            <w:r>
              <w:rPr>
                <w:b/>
                <w:bCs/>
                <w:sz w:val="17"/>
                <w:szCs w:val="17"/>
              </w:rPr>
              <w:t xml:space="preserve"/>
            </w:r>
          </w:p>
        </w:tc>
        <w:tc>
          <w:tcPr>
            <w:tcW w:type="dxa" w:w="1310"/>
            <w:shd w:fill="D9E2F3" w:color="auto" w:val="clear"/>
            <w:tcMar>
              <w:top w:type="dxa" w:w="50"/>
              <w:left w:type="dxa" w:w="80"/>
              <w:bottom w:type="dxa" w:w="50"/>
              <w:right w:type="dxa" w:w="80"/>
            </w:tcMar>
            <w:vAlign w:val="center"/>
          </w:tcPr>
          <w:p>
            <w:pPr>
              <w:jc w:val="right"/>
            </w:pPr>
            <w:r>
              <w:rPr>
                <w:b/>
                <w:bCs/>
                <w:sz w:val="17"/>
                <w:szCs w:val="17"/>
              </w:rPr>
              <w:t xml:space="preserve">73.2</w:t>
            </w:r>
          </w:p>
        </w:tc>
      </w:tr>
    </w:tbl>
    <w:p>
      <w:pPr>
        <w:pBdr>
          <w:left w:val="single" w:color="C9A227" w:sz="12" w:space="8"/>
        </w:pBdr>
        <w:spacing w:after="240" w:before="80"/>
        <w:ind w:left="120"/>
      </w:pPr>
      <w:r>
        <w:rPr>
          <w:i/>
          <w:iCs/>
          <w:color w:val="808080"/>
          <w:sz w:val="18"/>
          <w:szCs w:val="18"/>
        </w:rPr>
        <w:t xml:space="preserve">*Formal recycling achievement exceeds 100% because installed-capacity throughput (measured in tonnes, sourced from multiple regions) is not directly comparable to district-collected volume (measured in kg, local collection only); the score is capped at 100% to avoid overstating performance. This mismatch is a known limitation of the sample template, not a real operational finding.</w:t>
      </w:r>
    </w:p>
    <w:p>
      <w:pPr>
        <w:spacing w:after="120"/>
      </w:pPr>
    </w:p>
    <w:p>
      <w:pPr>
        <w:spacing w:after="160"/>
      </w:pPr>
      <w:r>
        <w:rPr>
          <w:b/>
          <w:bCs/>
        </w:rPr>
        <w:t xml:space="preserve">Score interpretation bands:</w:t>
      </w:r>
    </w:p>
    <w:p>
      <w:pPr>
        <w:pStyle w:val="ListParagraph"/>
        <w:numPr>
          <w:ilvl w:val="0"/>
          <w:numId w:val="1"/>
        </w:numPr>
        <w:spacing w:after="80"/>
      </w:pPr>
      <w:r>
        <w:t xml:space="preserve">85–100: Excellent</w:t>
      </w:r>
    </w:p>
    <w:p>
      <w:pPr>
        <w:pStyle w:val="ListParagraph"/>
        <w:numPr>
          <w:ilvl w:val="0"/>
          <w:numId w:val="1"/>
        </w:numPr>
        <w:spacing w:after="80"/>
      </w:pPr>
      <w:r>
        <w:t xml:space="preserve">65–84: Good  ← current state score</w:t>
      </w:r>
    </w:p>
    <w:p>
      <w:pPr>
        <w:pStyle w:val="ListParagraph"/>
        <w:numPr>
          <w:ilvl w:val="0"/>
          <w:numId w:val="1"/>
        </w:numPr>
        <w:spacing w:after="80"/>
      </w:pPr>
      <w:r>
        <w:t xml:space="preserve">45–64: Needs Improvement</w:t>
      </w:r>
    </w:p>
    <w:p>
      <w:pPr>
        <w:pStyle w:val="ListParagraph"/>
        <w:numPr>
          <w:ilvl w:val="0"/>
          <w:numId w:val="1"/>
        </w:numPr>
        <w:spacing w:after="80"/>
      </w:pPr>
      <w:r>
        <w:t xml:space="preserve">0–44: Critical</w:t>
      </w:r>
    </w:p>
    <w:p>
      <w:pPr>
        <w:pStyle w:val="Heading1"/>
        <w:spacing w:after="160" w:before="320"/>
      </w:pPr>
      <w:r>
        <w:t xml:space="preserve">3. Generation Inventory</w:t>
      </w:r>
    </w:p>
    <w:p>
      <w:pPr>
        <w:spacing w:after="160"/>
      </w:pPr>
      <w:r>
        <w:t xml:space="preserve">District-wise e-waste generation, broken down by E-Waste (Management) Rules, 2022 Schedule I category (simplified). All figures in kilograms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030"/>
        <w:gridCol w:w="1030"/>
        <w:gridCol w:w="1123"/>
        <w:gridCol w:w="1123"/>
        <w:gridCol w:w="842"/>
        <w:gridCol w:w="842"/>
        <w:gridCol w:w="749"/>
        <w:gridCol w:w="1123"/>
      </w:tblGrid>
      <w:tr>
        <w:trPr>
          <w:tblHeader/>
        </w:trPr>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030"/>
            <w:shd w:fill="1F4E78" w:color="auto" w:val="clear"/>
            <w:tcMar>
              <w:top w:type="dxa" w:w="60"/>
              <w:left w:type="dxa" w:w="80"/>
              <w:bottom w:type="dxa" w:w="60"/>
              <w:right w:type="dxa" w:w="80"/>
            </w:tcMar>
            <w:vAlign w:val="center"/>
          </w:tcPr>
          <w:p>
            <w:pPr>
              <w:jc w:val="left"/>
            </w:pPr>
            <w:r>
              <w:rPr>
                <w:b/>
                <w:bCs/>
                <w:color w:val="FFFFFF"/>
                <w:sz w:val="18"/>
                <w:szCs w:val="18"/>
              </w:rPr>
              <w:t xml:space="preserve">Population</w:t>
            </w:r>
          </w:p>
        </w:tc>
        <w:tc>
          <w:tcPr>
            <w:tcW w:type="dxa" w:w="1030"/>
            <w:shd w:fill="1F4E78" w:color="auto" w:val="clear"/>
            <w:tcMar>
              <w:top w:type="dxa" w:w="60"/>
              <w:left w:type="dxa" w:w="80"/>
              <w:bottom w:type="dxa" w:w="60"/>
              <w:right w:type="dxa" w:w="80"/>
            </w:tcMar>
            <w:vAlign w:val="center"/>
          </w:tcPr>
          <w:p>
            <w:pPr>
              <w:jc w:val="left"/>
            </w:pPr>
            <w:r>
              <w:rPr>
                <w:b/>
                <w:bCs/>
                <w:color w:val="FFFFFF"/>
                <w:sz w:val="18"/>
                <w:szCs w:val="18"/>
              </w:rPr>
              <w:t xml:space="preserve">IT &amp; Telecom</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Consumer Elec.</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Large/Small Equip.</w:t>
            </w:r>
          </w:p>
        </w:tc>
        <w:tc>
          <w:tcPr>
            <w:tcW w:type="dxa" w:w="842"/>
            <w:shd w:fill="1F4E78" w:color="auto" w:val="clear"/>
            <w:tcMar>
              <w:top w:type="dxa" w:w="60"/>
              <w:left w:type="dxa" w:w="80"/>
              <w:bottom w:type="dxa" w:w="60"/>
              <w:right w:type="dxa" w:w="80"/>
            </w:tcMar>
            <w:vAlign w:val="center"/>
          </w:tcPr>
          <w:p>
            <w:pPr>
              <w:jc w:val="left"/>
            </w:pPr>
            <w:r>
              <w:rPr>
                <w:b/>
                <w:bCs/>
                <w:color w:val="FFFFFF"/>
                <w:sz w:val="18"/>
                <w:szCs w:val="18"/>
              </w:rPr>
              <w:t xml:space="preserve">Lighting</w:t>
            </w:r>
          </w:p>
        </w:tc>
        <w:tc>
          <w:tcPr>
            <w:tcW w:type="dxa" w:w="842"/>
            <w:shd w:fill="1F4E78" w:color="auto" w:val="clear"/>
            <w:tcMar>
              <w:top w:type="dxa" w:w="60"/>
              <w:left w:type="dxa" w:w="80"/>
              <w:bottom w:type="dxa" w:w="60"/>
              <w:right w:type="dxa" w:w="80"/>
            </w:tcMar>
            <w:vAlign w:val="center"/>
          </w:tcPr>
          <w:p>
            <w:pPr>
              <w:jc w:val="left"/>
            </w:pPr>
            <w:r>
              <w:rPr>
                <w:b/>
                <w:bCs/>
                <w:color w:val="FFFFFF"/>
                <w:sz w:val="18"/>
                <w:szCs w:val="18"/>
              </w:rPr>
              <w:t xml:space="preserve">Batteries</w:t>
            </w:r>
          </w:p>
        </w:tc>
        <w:tc>
          <w:tcPr>
            <w:tcW w:type="dxa" w:w="749"/>
            <w:shd w:fill="1F4E78" w:color="auto" w:val="clear"/>
            <w:tcMar>
              <w:top w:type="dxa" w:w="60"/>
              <w:left w:type="dxa" w:w="80"/>
              <w:bottom w:type="dxa" w:w="60"/>
              <w:right w:type="dxa" w:w="80"/>
            </w:tcMar>
            <w:vAlign w:val="center"/>
          </w:tcPr>
          <w:p>
            <w:pPr>
              <w:jc w:val="left"/>
            </w:pPr>
            <w:r>
              <w:rPr>
                <w:b/>
                <w:bCs/>
                <w:color w:val="FFFFFF"/>
                <w:sz w:val="18"/>
                <w:szCs w:val="18"/>
              </w:rPr>
              <w:t xml:space="preserve">Other</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Total Generated</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17,00,000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4,50,000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2,25,000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1,50,000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37,500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62,500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25,000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9,50,000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18,90,000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3,40,000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1,70,000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1,14,000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28,000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48,000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20,000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7,20,000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16,50,000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2,27,000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1,14,000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76,000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19,000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31,000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13,000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4,80,000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9,54,000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1,80,000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90,000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60,000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15,000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25,000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10,000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3,80,000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Almora</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6,22,000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71,000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35,500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23,500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6,000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9,500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4,500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1,50,000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Pauri Garhwal</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6,87,000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66,000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33,000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22,000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5,500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9,000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4,500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1,40,000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Tehri Garhwal</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6,18,000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61,500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30,500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20,500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5,000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8,500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4,000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1,30,000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3,30,000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40,000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20,000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13,500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3,500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5,500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2,500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85,000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Pithoragarh</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4,83,000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45,000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22,500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15,000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3,800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6,200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2,500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95,000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Chamoli</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3,91,000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42,500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21,500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14,000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3,500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6,000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2,500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90,000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Champawat</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2,59,000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26,000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13,000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8,500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2,200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3,800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1,500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55,000</w:t>
            </w:r>
          </w:p>
        </w:tc>
      </w:tr>
      <w:tr>
        <w:tc>
          <w:tcPr>
            <w:tcW w:type="dxa" w:w="1498"/>
            <w:shd w:fill="EAF1F8" w:color="auto" w:val="clear"/>
            <w:tcMar>
              <w:top w:type="dxa" w:w="50"/>
              <w:left w:type="dxa" w:w="80"/>
              <w:bottom w:type="dxa" w:w="50"/>
              <w:right w:type="dxa" w:w="80"/>
            </w:tcMar>
            <w:vAlign w:val="center"/>
          </w:tcPr>
          <w:p>
            <w:pPr>
              <w:jc w:val="left"/>
            </w:pPr>
            <w:r>
              <w:rPr>
                <w:b w:val="false"/>
                <w:bCs w:val="false"/>
                <w:sz w:val="17"/>
                <w:szCs w:val="17"/>
              </w:rPr>
              <w:t xml:space="preserve">Bageshwar</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2,49,000</w:t>
            </w:r>
          </w:p>
        </w:tc>
        <w:tc>
          <w:tcPr>
            <w:tcW w:type="dxa" w:w="1030"/>
            <w:shd w:fill="EAF1F8" w:color="auto" w:val="clear"/>
            <w:tcMar>
              <w:top w:type="dxa" w:w="50"/>
              <w:left w:type="dxa" w:w="80"/>
              <w:bottom w:type="dxa" w:w="50"/>
              <w:right w:type="dxa" w:w="80"/>
            </w:tcMar>
            <w:vAlign w:val="center"/>
          </w:tcPr>
          <w:p>
            <w:pPr>
              <w:jc w:val="right"/>
            </w:pPr>
            <w:r>
              <w:rPr>
                <w:b w:val="false"/>
                <w:bCs w:val="false"/>
                <w:sz w:val="17"/>
                <w:szCs w:val="17"/>
              </w:rPr>
              <w:t xml:space="preserve">23,500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12,000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7,800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2,000</w:t>
            </w:r>
          </w:p>
        </w:tc>
        <w:tc>
          <w:tcPr>
            <w:tcW w:type="dxa" w:w="842"/>
            <w:shd w:fill="EAF1F8" w:color="auto" w:val="clear"/>
            <w:tcMar>
              <w:top w:type="dxa" w:w="50"/>
              <w:left w:type="dxa" w:w="80"/>
              <w:bottom w:type="dxa" w:w="50"/>
              <w:right w:type="dxa" w:w="80"/>
            </w:tcMar>
            <w:vAlign w:val="center"/>
          </w:tcPr>
          <w:p>
            <w:pPr>
              <w:jc w:val="right"/>
            </w:pPr>
            <w:r>
              <w:rPr>
                <w:b w:val="false"/>
                <w:bCs w:val="false"/>
                <w:sz w:val="17"/>
                <w:szCs w:val="17"/>
              </w:rPr>
              <w:t xml:space="preserve">3,400</w:t>
            </w:r>
          </w:p>
        </w:tc>
        <w:tc>
          <w:tcPr>
            <w:tcW w:type="dxa" w:w="749"/>
            <w:shd w:fill="EAF1F8" w:color="auto" w:val="clear"/>
            <w:tcMar>
              <w:top w:type="dxa" w:w="50"/>
              <w:left w:type="dxa" w:w="80"/>
              <w:bottom w:type="dxa" w:w="50"/>
              <w:right w:type="dxa" w:w="80"/>
            </w:tcMar>
            <w:vAlign w:val="center"/>
          </w:tcPr>
          <w:p>
            <w:pPr>
              <w:jc w:val="right"/>
            </w:pPr>
            <w:r>
              <w:rPr>
                <w:b w:val="false"/>
                <w:bCs w:val="false"/>
                <w:sz w:val="17"/>
                <w:szCs w:val="17"/>
              </w:rPr>
              <w:t xml:space="preserve">1,300</w:t>
            </w:r>
          </w:p>
        </w:tc>
        <w:tc>
          <w:tcPr>
            <w:tcW w:type="dxa" w:w="1123"/>
            <w:shd w:fill="EAF1F8" w:color="auto" w:val="clear"/>
            <w:tcMar>
              <w:top w:type="dxa" w:w="50"/>
              <w:left w:type="dxa" w:w="80"/>
              <w:bottom w:type="dxa" w:w="50"/>
              <w:right w:type="dxa" w:w="80"/>
            </w:tcMar>
            <w:vAlign w:val="center"/>
          </w:tcPr>
          <w:p>
            <w:pPr>
              <w:jc w:val="right"/>
            </w:pPr>
            <w:r>
              <w:rPr>
                <w:b w:val="false"/>
                <w:bCs w:val="false"/>
                <w:sz w:val="17"/>
                <w:szCs w:val="17"/>
              </w:rPr>
              <w:t xml:space="preserve">50,000</w:t>
            </w:r>
          </w:p>
        </w:tc>
      </w:tr>
      <w:tr>
        <w:tc>
          <w:tcPr>
            <w:tcW w:type="dxa" w:w="1498"/>
            <w:shd w:fill="FFFFFF" w:color="auto" w:val="clear"/>
            <w:tcMar>
              <w:top w:type="dxa" w:w="50"/>
              <w:left w:type="dxa" w:w="80"/>
              <w:bottom w:type="dxa" w:w="50"/>
              <w:right w:type="dxa" w:w="80"/>
            </w:tcMar>
            <w:vAlign w:val="center"/>
          </w:tcPr>
          <w:p>
            <w:pPr>
              <w:jc w:val="left"/>
            </w:pPr>
            <w:r>
              <w:rPr>
                <w:b w:val="false"/>
                <w:bCs w:val="false"/>
                <w:sz w:val="17"/>
                <w:szCs w:val="17"/>
              </w:rPr>
              <w:t xml:space="preserve">Rudraprayag</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2,42,000</w:t>
            </w:r>
          </w:p>
        </w:tc>
        <w:tc>
          <w:tcPr>
            <w:tcW w:type="dxa" w:w="1030"/>
            <w:shd w:fill="FFFFFF" w:color="auto" w:val="clear"/>
            <w:tcMar>
              <w:top w:type="dxa" w:w="50"/>
              <w:left w:type="dxa" w:w="80"/>
              <w:bottom w:type="dxa" w:w="50"/>
              <w:right w:type="dxa" w:w="80"/>
            </w:tcMar>
            <w:vAlign w:val="center"/>
          </w:tcPr>
          <w:p>
            <w:pPr>
              <w:jc w:val="right"/>
            </w:pPr>
            <w:r>
              <w:rPr>
                <w:b w:val="false"/>
                <w:bCs w:val="false"/>
                <w:sz w:val="17"/>
                <w:szCs w:val="17"/>
              </w:rPr>
              <w:t xml:space="preserve">21,000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10,800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7,000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1,800</w:t>
            </w:r>
          </w:p>
        </w:tc>
        <w:tc>
          <w:tcPr>
            <w:tcW w:type="dxa" w:w="842"/>
            <w:shd w:fill="FFFFFF" w:color="auto" w:val="clear"/>
            <w:tcMar>
              <w:top w:type="dxa" w:w="50"/>
              <w:left w:type="dxa" w:w="80"/>
              <w:bottom w:type="dxa" w:w="50"/>
              <w:right w:type="dxa" w:w="80"/>
            </w:tcMar>
            <w:vAlign w:val="center"/>
          </w:tcPr>
          <w:p>
            <w:pPr>
              <w:jc w:val="right"/>
            </w:pPr>
            <w:r>
              <w:rPr>
                <w:b w:val="false"/>
                <w:bCs w:val="false"/>
                <w:sz w:val="17"/>
                <w:szCs w:val="17"/>
              </w:rPr>
              <w:t xml:space="preserve">3,100</w:t>
            </w:r>
          </w:p>
        </w:tc>
        <w:tc>
          <w:tcPr>
            <w:tcW w:type="dxa" w:w="749"/>
            <w:shd w:fill="FFFFFF" w:color="auto" w:val="clear"/>
            <w:tcMar>
              <w:top w:type="dxa" w:w="50"/>
              <w:left w:type="dxa" w:w="80"/>
              <w:bottom w:type="dxa" w:w="50"/>
              <w:right w:type="dxa" w:w="80"/>
            </w:tcMar>
            <w:vAlign w:val="center"/>
          </w:tcPr>
          <w:p>
            <w:pPr>
              <w:jc w:val="right"/>
            </w:pPr>
            <w:r>
              <w:rPr>
                <w:b w:val="false"/>
                <w:bCs w:val="false"/>
                <w:sz w:val="17"/>
                <w:szCs w:val="17"/>
              </w:rPr>
              <w:t xml:space="preserve">1,300</w:t>
            </w:r>
          </w:p>
        </w:tc>
        <w:tc>
          <w:tcPr>
            <w:tcW w:type="dxa" w:w="1123"/>
            <w:shd w:fill="FFFFFF" w:color="auto" w:val="clear"/>
            <w:tcMar>
              <w:top w:type="dxa" w:w="50"/>
              <w:left w:type="dxa" w:w="80"/>
              <w:bottom w:type="dxa" w:w="50"/>
              <w:right w:type="dxa" w:w="80"/>
            </w:tcMar>
            <w:vAlign w:val="center"/>
          </w:tcPr>
          <w:p>
            <w:pPr>
              <w:jc w:val="right"/>
            </w:pPr>
            <w:r>
              <w:rPr>
                <w:b w:val="false"/>
                <w:bCs w:val="false"/>
                <w:sz w:val="17"/>
                <w:szCs w:val="17"/>
              </w:rPr>
              <w:t xml:space="preserve">45,000</w:t>
            </w:r>
          </w:p>
        </w:tc>
      </w:tr>
      <w:tr>
        <w:tc>
          <w:tcPr>
            <w:tcW w:type="dxa" w:w="1498"/>
            <w:shd w:fill="D9E2F3" w:color="auto" w:val="clear"/>
            <w:tcMar>
              <w:top w:type="dxa" w:w="50"/>
              <w:left w:type="dxa" w:w="80"/>
              <w:bottom w:type="dxa" w:w="50"/>
              <w:right w:type="dxa" w:w="80"/>
            </w:tcMar>
            <w:vAlign w:val="center"/>
          </w:tcPr>
          <w:p>
            <w:pPr>
              <w:jc w:val="left"/>
            </w:pPr>
            <w:r>
              <w:rPr>
                <w:b/>
                <w:bCs/>
                <w:sz w:val="17"/>
                <w:szCs w:val="17"/>
              </w:rPr>
              <w:t xml:space="preserve">STATE TOTAL</w:t>
            </w:r>
          </w:p>
        </w:tc>
        <w:tc>
          <w:tcPr>
            <w:tcW w:type="dxa" w:w="1030"/>
            <w:shd w:fill="D9E2F3" w:color="auto" w:val="clear"/>
            <w:tcMar>
              <w:top w:type="dxa" w:w="50"/>
              <w:left w:type="dxa" w:w="80"/>
              <w:bottom w:type="dxa" w:w="50"/>
              <w:right w:type="dxa" w:w="80"/>
            </w:tcMar>
            <w:vAlign w:val="center"/>
          </w:tcPr>
          <w:p>
            <w:pPr>
              <w:jc w:val="right"/>
            </w:pPr>
            <w:r>
              <w:rPr>
                <w:b/>
                <w:bCs/>
                <w:sz w:val="17"/>
                <w:szCs w:val="17"/>
              </w:rPr>
              <w:t xml:space="preserve">1,00,75,000</w:t>
            </w:r>
          </w:p>
        </w:tc>
        <w:tc>
          <w:tcPr>
            <w:tcW w:type="dxa" w:w="1030"/>
            <w:shd w:fill="D9E2F3" w:color="auto" w:val="clear"/>
            <w:tcMar>
              <w:top w:type="dxa" w:w="50"/>
              <w:left w:type="dxa" w:w="80"/>
              <w:bottom w:type="dxa" w:w="50"/>
              <w:right w:type="dxa" w:w="80"/>
            </w:tcMar>
            <w:vAlign w:val="center"/>
          </w:tcPr>
          <w:p>
            <w:pPr>
              <w:jc w:val="right"/>
            </w:pPr>
            <w:r>
              <w:rPr>
                <w:b/>
                <w:bCs/>
                <w:sz w:val="17"/>
                <w:szCs w:val="17"/>
              </w:rPr>
              <w:t xml:space="preserve">15,93,500</w:t>
            </w:r>
          </w:p>
        </w:tc>
        <w:tc>
          <w:tcPr>
            <w:tcW w:type="dxa" w:w="1123"/>
            <w:shd w:fill="D9E2F3" w:color="auto" w:val="clear"/>
            <w:tcMar>
              <w:top w:type="dxa" w:w="50"/>
              <w:left w:type="dxa" w:w="80"/>
              <w:bottom w:type="dxa" w:w="50"/>
              <w:right w:type="dxa" w:w="80"/>
            </w:tcMar>
            <w:vAlign w:val="center"/>
          </w:tcPr>
          <w:p>
            <w:pPr>
              <w:jc w:val="right"/>
            </w:pPr>
            <w:r>
              <w:rPr>
                <w:b/>
                <w:bCs/>
                <w:sz w:val="17"/>
                <w:szCs w:val="17"/>
              </w:rPr>
              <w:t xml:space="preserve">7,97,800</w:t>
            </w:r>
          </w:p>
        </w:tc>
        <w:tc>
          <w:tcPr>
            <w:tcW w:type="dxa" w:w="1123"/>
            <w:shd w:fill="D9E2F3" w:color="auto" w:val="clear"/>
            <w:tcMar>
              <w:top w:type="dxa" w:w="50"/>
              <w:left w:type="dxa" w:w="80"/>
              <w:bottom w:type="dxa" w:w="50"/>
              <w:right w:type="dxa" w:w="80"/>
            </w:tcMar>
            <w:vAlign w:val="center"/>
          </w:tcPr>
          <w:p>
            <w:pPr>
              <w:jc w:val="right"/>
            </w:pPr>
            <w:r>
              <w:rPr>
                <w:b/>
                <w:bCs/>
                <w:sz w:val="17"/>
                <w:szCs w:val="17"/>
              </w:rPr>
              <w:t xml:space="preserve">5,31,800</w:t>
            </w:r>
          </w:p>
        </w:tc>
        <w:tc>
          <w:tcPr>
            <w:tcW w:type="dxa" w:w="842"/>
            <w:shd w:fill="D9E2F3" w:color="auto" w:val="clear"/>
            <w:tcMar>
              <w:top w:type="dxa" w:w="50"/>
              <w:left w:type="dxa" w:w="80"/>
              <w:bottom w:type="dxa" w:w="50"/>
              <w:right w:type="dxa" w:w="80"/>
            </w:tcMar>
            <w:vAlign w:val="center"/>
          </w:tcPr>
          <w:p>
            <w:pPr>
              <w:jc w:val="right"/>
            </w:pPr>
            <w:r>
              <w:rPr>
                <w:b/>
                <w:bCs/>
                <w:sz w:val="17"/>
                <w:szCs w:val="17"/>
              </w:rPr>
              <w:t xml:space="preserve">1,32,800</w:t>
            </w:r>
          </w:p>
        </w:tc>
        <w:tc>
          <w:tcPr>
            <w:tcW w:type="dxa" w:w="842"/>
            <w:shd w:fill="D9E2F3" w:color="auto" w:val="clear"/>
            <w:tcMar>
              <w:top w:type="dxa" w:w="50"/>
              <w:left w:type="dxa" w:w="80"/>
              <w:bottom w:type="dxa" w:w="50"/>
              <w:right w:type="dxa" w:w="80"/>
            </w:tcMar>
            <w:vAlign w:val="center"/>
          </w:tcPr>
          <w:p>
            <w:pPr>
              <w:jc w:val="right"/>
            </w:pPr>
            <w:r>
              <w:rPr>
                <w:b/>
                <w:bCs/>
                <w:sz w:val="17"/>
                <w:szCs w:val="17"/>
              </w:rPr>
              <w:t xml:space="preserve">2,21,500</w:t>
            </w:r>
          </w:p>
        </w:tc>
        <w:tc>
          <w:tcPr>
            <w:tcW w:type="dxa" w:w="749"/>
            <w:shd w:fill="D9E2F3" w:color="auto" w:val="clear"/>
            <w:tcMar>
              <w:top w:type="dxa" w:w="50"/>
              <w:left w:type="dxa" w:w="80"/>
              <w:bottom w:type="dxa" w:w="50"/>
              <w:right w:type="dxa" w:w="80"/>
            </w:tcMar>
            <w:vAlign w:val="center"/>
          </w:tcPr>
          <w:p>
            <w:pPr>
              <w:jc w:val="right"/>
            </w:pPr>
            <w:r>
              <w:rPr>
                <w:b/>
                <w:bCs/>
                <w:sz w:val="17"/>
                <w:szCs w:val="17"/>
              </w:rPr>
              <w:t xml:space="preserve">92,600</w:t>
            </w:r>
          </w:p>
        </w:tc>
        <w:tc>
          <w:tcPr>
            <w:tcW w:type="dxa" w:w="1123"/>
            <w:shd w:fill="D9E2F3" w:color="auto" w:val="clear"/>
            <w:tcMar>
              <w:top w:type="dxa" w:w="50"/>
              <w:left w:type="dxa" w:w="80"/>
              <w:bottom w:type="dxa" w:w="50"/>
              <w:right w:type="dxa" w:w="80"/>
            </w:tcMar>
            <w:vAlign w:val="center"/>
          </w:tcPr>
          <w:p>
            <w:pPr>
              <w:jc w:val="right"/>
            </w:pPr>
            <w:r>
              <w:rPr>
                <w:b/>
                <w:bCs/>
                <w:sz w:val="17"/>
                <w:szCs w:val="17"/>
              </w:rPr>
              <w:t xml:space="preserve">33,70,000</w:t>
            </w:r>
          </w:p>
        </w:tc>
      </w:tr>
    </w:tbl>
    <w:p>
      <w:pPr>
        <w:spacing w:after="160"/>
      </w:pPr>
      <w:r>
        <w:t xml:space="preserve">IT &amp; Telecom equipment (computers, mobiles) is the largest category statewide at 1,593,500 kg (47.3% of total generation), consistent with high device turnover in this category nationally. Dehradun and Haridwar together account for just under half of total state generation, reflecting their larger, more urbanized populations.</w:t>
      </w:r>
    </w:p>
    <w:p>
      <w:pPr>
        <w:pStyle w:val="Heading1"/>
        <w:spacing w:after="160" w:before="320"/>
      </w:pPr>
      <w:r>
        <w:t xml:space="preserve">4. Collection Performance</w:t>
      </w:r>
    </w:p>
    <w:p>
      <w:pPr>
        <w:spacing w:after="160"/>
      </w:pPr>
      <w:r>
        <w:t xml:space="preserve">‘Generated’ is pulled from the Generation Inventory. ‘EPR Collection Target/Achieved’ reflect producer-responsibility obligations tracked separately from general collection. All figures in kilograms.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1404"/>
        <w:gridCol w:w="1217"/>
        <w:gridCol w:w="1498"/>
        <w:gridCol w:w="1498"/>
      </w:tblGrid>
      <w:tr>
        <w:trPr>
          <w:tblHeader/>
        </w:trPr>
        <w:tc>
          <w:tcPr>
            <w:tcW w:type="dxa" w:w="2246"/>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Generated</w:t>
            </w:r>
          </w:p>
        </w:tc>
        <w:tc>
          <w:tcPr>
            <w:tcW w:type="dxa" w:w="1404"/>
            <w:shd w:fill="1F4E78" w:color="auto" w:val="clear"/>
            <w:tcMar>
              <w:top w:type="dxa" w:w="60"/>
              <w:left w:type="dxa" w:w="80"/>
              <w:bottom w:type="dxa" w:w="60"/>
              <w:right w:type="dxa" w:w="80"/>
            </w:tcMar>
            <w:vAlign w:val="center"/>
          </w:tcPr>
          <w:p>
            <w:pPr>
              <w:jc w:val="left"/>
            </w:pPr>
            <w:r>
              <w:rPr>
                <w:b/>
                <w:bCs/>
                <w:color w:val="FFFFFF"/>
                <w:sz w:val="18"/>
                <w:szCs w:val="18"/>
              </w:rPr>
              <w:t xml:space="preserve">Collected</w:t>
            </w:r>
          </w:p>
        </w:tc>
        <w:tc>
          <w:tcPr>
            <w:tcW w:type="dxa" w:w="1217"/>
            <w:shd w:fill="1F4E78" w:color="auto" w:val="clear"/>
            <w:tcMar>
              <w:top w:type="dxa" w:w="60"/>
              <w:left w:type="dxa" w:w="80"/>
              <w:bottom w:type="dxa" w:w="60"/>
              <w:right w:type="dxa" w:w="80"/>
            </w:tcMar>
            <w:vAlign w:val="center"/>
          </w:tcPr>
          <w:p>
            <w:pPr>
              <w:jc w:val="left"/>
            </w:pPr>
            <w:r>
              <w:rPr>
                <w:b/>
                <w:bCs/>
                <w:color w:val="FFFFFF"/>
                <w:sz w:val="18"/>
                <w:szCs w:val="18"/>
              </w:rPr>
              <w:t xml:space="preserve">Reg. Centers</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EPR Target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EPR Achieved</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9,50,000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4,70,000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22</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5,70,000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4,10,000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7,20,000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3,30,000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18</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4,32,000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3,00,000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4,80,000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2,10,000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15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2,88,000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1,90,000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3,80,000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1,65,000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12</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1,50,000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1,38,000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Almora</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1,50,000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58,000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6</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90,000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Pauri Garhwal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1,40,000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52,000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5</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84,000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46,000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Tehri Garhwal</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1,30,000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47,000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78,000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41,000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85,000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27,000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3</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51,000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24,000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Pithoragarh</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95,000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30,000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4</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57,000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27,000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Chamoli</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90,000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29,000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4</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54,000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26,000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Champawat</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55,000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17,000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3</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33,000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15,000</w:t>
            </w:r>
          </w:p>
        </w:tc>
      </w:tr>
      <w:tr>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Bageshwar</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50,000</w:t>
            </w:r>
          </w:p>
        </w:tc>
        <w:tc>
          <w:tcPr>
            <w:tcW w:type="dxa" w:w="1404"/>
            <w:shd w:fill="EAF1F8" w:color="auto" w:val="clear"/>
            <w:tcMar>
              <w:top w:type="dxa" w:w="50"/>
              <w:left w:type="dxa" w:w="80"/>
              <w:bottom w:type="dxa" w:w="50"/>
              <w:right w:type="dxa" w:w="80"/>
            </w:tcMar>
            <w:vAlign w:val="center"/>
          </w:tcPr>
          <w:p>
            <w:pPr>
              <w:jc w:val="right"/>
            </w:pPr>
            <w:r>
              <w:rPr>
                <w:b w:val="false"/>
                <w:bCs w:val="false"/>
                <w:sz w:val="17"/>
                <w:szCs w:val="17"/>
              </w:rPr>
              <w:t xml:space="preserve">15,000</w:t>
            </w:r>
          </w:p>
        </w:tc>
        <w:tc>
          <w:tcPr>
            <w:tcW w:type="dxa" w:w="1217"/>
            <w:shd w:fill="EAF1F8" w:color="auto" w:val="clear"/>
            <w:tcMar>
              <w:top w:type="dxa" w:w="50"/>
              <w:left w:type="dxa" w:w="80"/>
              <w:bottom w:type="dxa" w:w="50"/>
              <w:right w:type="dxa" w:w="80"/>
            </w:tcMar>
            <w:vAlign w:val="center"/>
          </w:tcPr>
          <w:p>
            <w:pPr>
              <w:jc w:val="right"/>
            </w:pPr>
            <w:r>
              <w:rPr>
                <w:b w:val="false"/>
                <w:bCs w:val="false"/>
                <w:sz w:val="17"/>
                <w:szCs w:val="17"/>
              </w:rPr>
              <w:t xml:space="preserve">3</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30,000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13,000</w:t>
            </w:r>
          </w:p>
        </w:tc>
      </w:tr>
      <w:tr>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Rudraprayag</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45,000</w:t>
            </w:r>
          </w:p>
        </w:tc>
        <w:tc>
          <w:tcPr>
            <w:tcW w:type="dxa" w:w="1404"/>
            <w:shd w:fill="FFFFFF" w:color="auto" w:val="clear"/>
            <w:tcMar>
              <w:top w:type="dxa" w:w="50"/>
              <w:left w:type="dxa" w:w="80"/>
              <w:bottom w:type="dxa" w:w="50"/>
              <w:right w:type="dxa" w:w="80"/>
            </w:tcMar>
            <w:vAlign w:val="center"/>
          </w:tcPr>
          <w:p>
            <w:pPr>
              <w:jc w:val="right"/>
            </w:pPr>
            <w:r>
              <w:rPr>
                <w:b w:val="false"/>
                <w:bCs w:val="false"/>
                <w:sz w:val="17"/>
                <w:szCs w:val="17"/>
              </w:rPr>
              <w:t xml:space="preserve">13,000</w:t>
            </w:r>
          </w:p>
        </w:tc>
        <w:tc>
          <w:tcPr>
            <w:tcW w:type="dxa" w:w="1217"/>
            <w:shd w:fill="FFFFFF" w:color="auto" w:val="clear"/>
            <w:tcMar>
              <w:top w:type="dxa" w:w="50"/>
              <w:left w:type="dxa" w:w="80"/>
              <w:bottom w:type="dxa" w:w="50"/>
              <w:right w:type="dxa" w:w="80"/>
            </w:tcMar>
            <w:vAlign w:val="center"/>
          </w:tcPr>
          <w:p>
            <w:pPr>
              <w:jc w:val="right"/>
            </w:pPr>
            <w:r>
              <w:rPr>
                <w:b w:val="false"/>
                <w:bCs w:val="false"/>
                <w:sz w:val="17"/>
                <w:szCs w:val="17"/>
              </w:rPr>
              <w:t xml:space="preserve">2</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27,000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11,000</w:t>
            </w:r>
          </w:p>
        </w:tc>
      </w:tr>
      <w:tr>
        <w:tc>
          <w:tcPr>
            <w:tcW w:type="dxa" w:w="2246"/>
            <w:shd w:fill="D9E2F3" w:color="auto" w:val="clear"/>
            <w:tcMar>
              <w:top w:type="dxa" w:w="50"/>
              <w:left w:type="dxa" w:w="80"/>
              <w:bottom w:type="dxa" w:w="50"/>
              <w:right w:type="dxa" w:w="80"/>
            </w:tcMar>
            <w:vAlign w:val="center"/>
          </w:tcPr>
          <w:p>
            <w:pPr>
              <w:jc w:val="left"/>
            </w:pPr>
            <w:r>
              <w:rPr>
                <w:b/>
                <w:bCs/>
                <w:sz w:val="17"/>
                <w:szCs w:val="17"/>
              </w:rPr>
              <w:t xml:space="preserve">STATE TOTAL</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33,70,000</w:t>
            </w:r>
          </w:p>
        </w:tc>
        <w:tc>
          <w:tcPr>
            <w:tcW w:type="dxa" w:w="1404"/>
            <w:shd w:fill="D9E2F3" w:color="auto" w:val="clear"/>
            <w:tcMar>
              <w:top w:type="dxa" w:w="50"/>
              <w:left w:type="dxa" w:w="80"/>
              <w:bottom w:type="dxa" w:w="50"/>
              <w:right w:type="dxa" w:w="80"/>
            </w:tcMar>
            <w:vAlign w:val="center"/>
          </w:tcPr>
          <w:p>
            <w:pPr>
              <w:jc w:val="right"/>
            </w:pPr>
            <w:r>
              <w:rPr>
                <w:b/>
                <w:bCs/>
                <w:sz w:val="17"/>
                <w:szCs w:val="17"/>
              </w:rPr>
              <w:t xml:space="preserve">14,63,000</w:t>
            </w:r>
          </w:p>
        </w:tc>
        <w:tc>
          <w:tcPr>
            <w:tcW w:type="dxa" w:w="1217"/>
            <w:shd w:fill="D9E2F3" w:color="auto" w:val="clear"/>
            <w:tcMar>
              <w:top w:type="dxa" w:w="50"/>
              <w:left w:type="dxa" w:w="80"/>
              <w:bottom w:type="dxa" w:w="50"/>
              <w:right w:type="dxa" w:w="80"/>
            </w:tcMar>
            <w:vAlign w:val="center"/>
          </w:tcPr>
          <w:p>
            <w:pPr>
              <w:jc w:val="right"/>
            </w:pPr>
            <w:r>
              <w:rPr>
                <w:b/>
                <w:bCs/>
                <w:sz w:val="17"/>
                <w:szCs w:val="17"/>
              </w:rPr>
              <w:t xml:space="preserve">102</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19,44,000</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12,91,000</w:t>
            </w:r>
          </w:p>
        </w:tc>
      </w:tr>
    </w:tbl>
    <w:p>
      <w:pPr>
        <w:spacing w:after="160"/>
      </w:pPr>
      <w:r>
        <w:t xml:space="preserve">Collection coverage varies widely by geography: plains districts (Dehradun, Haridwar, Udham Singh Nagar, Nainital) report stronger formal collection infrastructure, while hill districts (Uttarkashi, Bageshwar, Rudraprayag) show the lowest registered-center density, consistent with the logistical challenges of collection in mountainous terrain.</w:t>
      </w:r>
    </w:p>
    <w:p>
      <w:pPr>
        <w:pStyle w:val="Heading1"/>
        <w:spacing w:after="160" w:before="320"/>
      </w:pPr>
      <w:r>
        <w:t xml:space="preserve">5. Recycling Infrastructure</w:t>
      </w:r>
    </w:p>
    <w:p>
      <w:pPr>
        <w:spacing w:after="160"/>
      </w:pPr>
      <w:r>
        <w:t xml:space="preserve">Authorized recyclers/dismantlers currently operating in the state. Capacity and quantity processed are in tonnes/year.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1498"/>
        <w:gridCol w:w="1498"/>
        <w:gridCol w:w="1310"/>
      </w:tblGrid>
      <w:tr>
        <w:trPr>
          <w:tblHeader/>
        </w:trPr>
        <w:tc>
          <w:tcPr>
            <w:tcW w:type="dxa" w:w="3182"/>
            <w:shd w:fill="1F4E78" w:color="auto" w:val="clear"/>
            <w:tcMar>
              <w:top w:type="dxa" w:w="60"/>
              <w:left w:type="dxa" w:w="80"/>
              <w:bottom w:type="dxa" w:w="60"/>
              <w:right w:type="dxa" w:w="80"/>
            </w:tcMar>
            <w:vAlign w:val="center"/>
          </w:tcPr>
          <w:p>
            <w:pPr>
              <w:jc w:val="left"/>
            </w:pPr>
            <w:r>
              <w:rPr>
                <w:b/>
                <w:bCs/>
                <w:color w:val="FFFFFF"/>
                <w:sz w:val="18"/>
                <w:szCs w:val="18"/>
              </w:rPr>
              <w:t xml:space="preserve">Recycler / Dismantler</w:t>
            </w:r>
          </w:p>
        </w:tc>
        <w:tc>
          <w:tcPr>
            <w:tcW w:type="dxa" w:w="1872"/>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Installed Capacity</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Processed This Year</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Recovery Rate</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GreenTech E-Waste Recyclers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6,000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4,100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82.0%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Doon Valley Dismantlers Pvt. Ltd.</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3,000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1,850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76.0%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Ganga Recyclers &amp; Refiners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5,500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3,200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79.0%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Haridwar Metal Recovery Co.</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2,800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1,650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71.0%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Terai E-Waste Solutions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3,200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1,900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74.0%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Kumaon Green Recyclers Pvt. Ltd.</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1,500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820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68.0%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Himalaya Circular Systems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2,200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1,100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70.0%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Rishikesh E-Scrap Processors</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1,800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950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65.0%</w:t>
            </w:r>
          </w:p>
        </w:tc>
      </w:tr>
      <w:tr>
        <w:tc>
          <w:tcPr>
            <w:tcW w:type="dxa" w:w="3182"/>
            <w:shd w:fill="FFFFFF" w:color="auto" w:val="clear"/>
            <w:tcMar>
              <w:top w:type="dxa" w:w="50"/>
              <w:left w:type="dxa" w:w="80"/>
              <w:bottom w:type="dxa" w:w="50"/>
              <w:right w:type="dxa" w:w="80"/>
            </w:tcMar>
            <w:vAlign w:val="center"/>
          </w:tcPr>
          <w:p>
            <w:pPr>
              <w:jc w:val="left"/>
            </w:pPr>
            <w:r>
              <w:rPr>
                <w:b w:val="false"/>
                <w:bCs w:val="false"/>
                <w:sz w:val="17"/>
                <w:szCs w:val="17"/>
              </w:rPr>
              <w:t xml:space="preserve">Bhagirathi Recyclers Pvt. Ltd.</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400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120</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55.0%</w:t>
            </w:r>
          </w:p>
        </w:tc>
      </w:tr>
      <w:tr>
        <w:tc>
          <w:tcPr>
            <w:tcW w:type="dxa" w:w="3182"/>
            <w:shd w:fill="EAF1F8" w:color="auto" w:val="clear"/>
            <w:tcMar>
              <w:top w:type="dxa" w:w="50"/>
              <w:left w:type="dxa" w:w="80"/>
              <w:bottom w:type="dxa" w:w="50"/>
              <w:right w:type="dxa" w:w="80"/>
            </w:tcMar>
            <w:vAlign w:val="center"/>
          </w:tcPr>
          <w:p>
            <w:pPr>
              <w:jc w:val="left"/>
            </w:pPr>
            <w:r>
              <w:rPr>
                <w:b w:val="false"/>
                <w:bCs w:val="false"/>
                <w:sz w:val="17"/>
                <w:szCs w:val="17"/>
              </w:rPr>
              <w:t xml:space="preserve">Sarovar Metals &amp; Recovery Pvt. Ltd.</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1,200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610</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66.0%</w:t>
            </w:r>
          </w:p>
        </w:tc>
      </w:tr>
      <w:tr>
        <w:tc>
          <w:tcPr>
            <w:tcW w:type="dxa" w:w="3182"/>
            <w:shd w:fill="D9E2F3" w:color="auto" w:val="clear"/>
            <w:tcMar>
              <w:top w:type="dxa" w:w="50"/>
              <w:left w:type="dxa" w:w="80"/>
              <w:bottom w:type="dxa" w:w="50"/>
              <w:right w:type="dxa" w:w="80"/>
            </w:tcMar>
            <w:vAlign w:val="center"/>
          </w:tcPr>
          <w:p>
            <w:pPr>
              <w:jc w:val="left"/>
            </w:pPr>
            <w:r>
              <w:rPr>
                <w:b/>
                <w:bCs/>
                <w:sz w:val="17"/>
                <w:szCs w:val="17"/>
              </w:rPr>
              <w:t xml:space="preserve">STATE TOTAL</w:t>
            </w:r>
          </w:p>
        </w:tc>
        <w:tc>
          <w:tcPr>
            <w:tcW w:type="dxa" w:w="1872"/>
            <w:shd w:fill="D9E2F3" w:color="auto" w:val="clear"/>
            <w:tcMar>
              <w:top w:type="dxa" w:w="50"/>
              <w:left w:type="dxa" w:w="80"/>
              <w:bottom w:type="dxa" w:w="50"/>
              <w:right w:type="dxa" w:w="80"/>
            </w:tcMar>
            <w:vAlign w:val="center"/>
          </w:tcPr>
          <w:p>
            <w:pPr>
              <w:jc w:val="left"/>
            </w:pPr>
            <w:r>
              <w:rPr>
                <w:b/>
                <w:bCs/>
                <w:sz w:val="17"/>
                <w:szCs w:val="17"/>
              </w:rPr>
              <w:t xml:space="preserve">—</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27,600</w:t>
            </w:r>
          </w:p>
        </w:tc>
        <w:tc>
          <w:tcPr>
            <w:tcW w:type="dxa" w:w="1498"/>
            <w:shd w:fill="D9E2F3" w:color="auto" w:val="clear"/>
            <w:tcMar>
              <w:top w:type="dxa" w:w="50"/>
              <w:left w:type="dxa" w:w="80"/>
              <w:bottom w:type="dxa" w:w="50"/>
              <w:right w:type="dxa" w:w="80"/>
            </w:tcMar>
            <w:vAlign w:val="center"/>
          </w:tcPr>
          <w:p>
            <w:pPr>
              <w:jc w:val="right"/>
            </w:pPr>
            <w:r>
              <w:rPr>
                <w:b/>
                <w:bCs/>
                <w:sz w:val="17"/>
                <w:szCs w:val="17"/>
              </w:rPr>
              <w:t xml:space="preserve">16,300</w:t>
            </w:r>
          </w:p>
        </w:tc>
        <w:tc>
          <w:tcPr>
            <w:tcW w:type="dxa" w:w="1310"/>
            <w:shd w:fill="D9E2F3" w:color="auto" w:val="clear"/>
            <w:tcMar>
              <w:top w:type="dxa" w:w="50"/>
              <w:left w:type="dxa" w:w="80"/>
              <w:bottom w:type="dxa" w:w="50"/>
              <w:right w:type="dxa" w:w="80"/>
            </w:tcMar>
            <w:vAlign w:val="center"/>
          </w:tcPr>
          <w:p>
            <w:pPr>
              <w:jc w:val="right"/>
            </w:pPr>
            <w:r>
              <w:rPr>
                <w:b/>
                <w:bCs/>
                <w:sz w:val="17"/>
                <w:szCs w:val="17"/>
              </w:rPr>
              <w:t xml:space="preserve">75.4%</w:t>
            </w:r>
          </w:p>
        </w:tc>
      </w:tr>
    </w:tbl>
    <w:p>
      <w:pPr>
        <w:spacing w:after="160"/>
      </w:pPr>
      <w:r>
        <w:t xml:space="preserve">Formal recycling capacity is concentrated in Dehradun and Haridwar (5 of 10 authorized facilities), which also host the largest single-site capacities. The state-wide weighted average material recovery rate of 75.4% is led by GreenTech E-Waste Recyclers (Dehradun, 82.0%) and lagged by Bhagirathi Recyclers (Uttarkashi, 55.0%), the only authorized facility in a hill district in this sample.</w:t>
      </w:r>
    </w:p>
    <w:p>
      <w:pPr>
        <w:pStyle w:val="Heading1"/>
        <w:spacing w:after="160" w:before="320"/>
      </w:pPr>
      <w:r>
        <w:t xml:space="preserve">6. Regulatory Compliance (EPR)</w:t>
      </w:r>
    </w:p>
    <w:p>
      <w:pPr>
        <w:spacing w:after="160"/>
      </w:pPr>
      <w:r>
        <w:t xml:space="preserve">Compliance status of registered producers/EPR entities against their Extended Producer Responsibility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778"/>
        <w:gridCol w:w="1310"/>
        <w:gridCol w:w="1310"/>
        <w:gridCol w:w="1217"/>
        <w:gridCol w:w="1123"/>
      </w:tblGrid>
      <w:tr>
        <w:trPr>
          <w:tblHeader/>
        </w:trPr>
        <w:tc>
          <w:tcPr>
            <w:tcW w:type="dxa" w:w="2621"/>
            <w:shd w:fill="1F4E78" w:color="auto" w:val="clear"/>
            <w:tcMar>
              <w:top w:type="dxa" w:w="60"/>
              <w:left w:type="dxa" w:w="80"/>
              <w:bottom w:type="dxa" w:w="60"/>
              <w:right w:type="dxa" w:w="80"/>
            </w:tcMar>
            <w:vAlign w:val="center"/>
          </w:tcPr>
          <w:p>
            <w:pPr>
              <w:jc w:val="left"/>
            </w:pPr>
            <w:r>
              <w:rPr>
                <w:b/>
                <w:bCs/>
                <w:color w:val="FFFFFF"/>
                <w:sz w:val="18"/>
                <w:szCs w:val="18"/>
              </w:rPr>
              <w:t xml:space="preserve">Producer / EPR Entity</w:t>
            </w:r>
          </w:p>
        </w:tc>
        <w:tc>
          <w:tcPr>
            <w:tcW w:type="dxa" w:w="1778"/>
            <w:shd w:fill="1F4E78" w:color="auto" w:val="clear"/>
            <w:tcMar>
              <w:top w:type="dxa" w:w="60"/>
              <w:left w:type="dxa" w:w="80"/>
              <w:bottom w:type="dxa" w:w="60"/>
              <w:right w:type="dxa" w:w="80"/>
            </w:tcMar>
            <w:vAlign w:val="center"/>
          </w:tcPr>
          <w:p>
            <w:pPr>
              <w:jc w:val="left"/>
            </w:pPr>
            <w:r>
              <w:rPr>
                <w:b/>
                <w:bCs/>
                <w:color w:val="FFFFFF"/>
                <w:sz w:val="18"/>
                <w:szCs w:val="18"/>
              </w:rPr>
              <w:t xml:space="preserve">Compliance Status</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Inspection Planned</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Inspection Conducted</w:t>
            </w:r>
          </w:p>
        </w:tc>
        <w:tc>
          <w:tcPr>
            <w:tcW w:type="dxa" w:w="1217"/>
            <w:shd w:fill="1F4E78" w:color="auto" w:val="clear"/>
            <w:tcMar>
              <w:top w:type="dxa" w:w="60"/>
              <w:left w:type="dxa" w:w="80"/>
              <w:bottom w:type="dxa" w:w="60"/>
              <w:right w:type="dxa" w:w="80"/>
            </w:tcMar>
            <w:vAlign w:val="center"/>
          </w:tcPr>
          <w:p>
            <w:pPr>
              <w:jc w:val="left"/>
            </w:pPr>
            <w:r>
              <w:rPr>
                <w:b/>
                <w:bCs/>
                <w:color w:val="FFFFFF"/>
                <w:sz w:val="18"/>
                <w:szCs w:val="18"/>
              </w:rPr>
              <w:t xml:space="preserve">Penalty Issued</w:t>
            </w:r>
          </w:p>
        </w:tc>
        <w:tc>
          <w:tcPr>
            <w:tcW w:type="dxa" w:w="1123"/>
            <w:shd w:fill="1F4E78" w:color="auto" w:val="clear"/>
            <w:tcMar>
              <w:top w:type="dxa" w:w="60"/>
              <w:left w:type="dxa" w:w="80"/>
              <w:bottom w:type="dxa" w:w="60"/>
              <w:right w:type="dxa" w:w="80"/>
            </w:tcMar>
            <w:vAlign w:val="center"/>
          </w:tcPr>
          <w:p>
            <w:pPr>
              <w:jc w:val="left"/>
            </w:pPr>
            <w:r>
              <w:rPr>
                <w:b/>
                <w:bCs/>
                <w:color w:val="FFFFFF"/>
                <w:sz w:val="18"/>
                <w:szCs w:val="18"/>
              </w:rPr>
              <w:t xml:space="preserve">Penalty Resolved</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Sunrise Electronics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Himshakti Appliances Pvt.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Doon Devices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Kumaon Gadgets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Terai Home Systems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Non-Compliant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Ganga Consumer Tech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Rishikesh Electricals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Under Review</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Bhagirathi Electronics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r>
        <w:tc>
          <w:tcPr>
            <w:tcW w:type="dxa" w:w="2621"/>
            <w:shd w:fill="FFFFFF" w:color="auto" w:val="clear"/>
            <w:tcMar>
              <w:top w:type="dxa" w:w="50"/>
              <w:left w:type="dxa" w:w="80"/>
              <w:bottom w:type="dxa" w:w="50"/>
              <w:right w:type="dxa" w:w="80"/>
            </w:tcMar>
            <w:vAlign w:val="center"/>
          </w:tcPr>
          <w:p>
            <w:pPr>
              <w:jc w:val="left"/>
            </w:pPr>
            <w:r>
              <w:rPr>
                <w:b w:val="false"/>
                <w:bCs w:val="false"/>
                <w:sz w:val="17"/>
                <w:szCs w:val="17"/>
              </w:rPr>
              <w:t xml:space="preserve">Nanda Devi Appliances Pvt. Ltd.</w:t>
            </w:r>
          </w:p>
        </w:tc>
        <w:tc>
          <w:tcPr>
            <w:tcW w:type="dxa" w:w="1778"/>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Compliant</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123"/>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r>
      <w:tr>
        <w:tc>
          <w:tcPr>
            <w:tcW w:type="dxa" w:w="2621"/>
            <w:shd w:fill="EAF1F8" w:color="auto" w:val="clear"/>
            <w:tcMar>
              <w:top w:type="dxa" w:w="50"/>
              <w:left w:type="dxa" w:w="80"/>
              <w:bottom w:type="dxa" w:w="50"/>
              <w:right w:type="dxa" w:w="80"/>
            </w:tcMar>
            <w:vAlign w:val="center"/>
          </w:tcPr>
          <w:p>
            <w:pPr>
              <w:jc w:val="left"/>
            </w:pPr>
            <w:r>
              <w:rPr>
                <w:b w:val="false"/>
                <w:bCs w:val="false"/>
                <w:sz w:val="17"/>
                <w:szCs w:val="17"/>
              </w:rPr>
              <w:t xml:space="preserve">Vasundhara Tech Industries Ltd.</w:t>
            </w:r>
          </w:p>
        </w:tc>
        <w:tc>
          <w:tcPr>
            <w:tcW w:type="dxa" w:w="1778"/>
            <w:shd w:fill="EAF1F8"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123"/>
            <w:shd w:fill="EAF1F8" w:color="auto" w:val="clear"/>
            <w:tcMar>
              <w:top w:type="dxa" w:w="50"/>
              <w:left w:type="dxa" w:w="80"/>
              <w:bottom w:type="dxa" w:w="50"/>
              <w:right w:type="dxa" w:w="80"/>
            </w:tcMar>
            <w:vAlign w:val="center"/>
          </w:tcPr>
          <w:p>
            <w:pPr>
              <w:jc w:val="left"/>
            </w:pPr>
            <w:r>
              <w:rPr>
                <w:b w:val="false"/>
                <w:bCs w:val="false"/>
                <w:sz w:val="17"/>
                <w:szCs w:val="17"/>
              </w:rPr>
              <w:t xml:space="preserve">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8" w:color="auto" w:val="clear"/>
            <w:tcMar>
              <w:top w:type="dxa" w:w="60"/>
              <w:left w:type="dxa" w:w="80"/>
              <w:bottom w:type="dxa" w:w="60"/>
              <w:right w:type="dxa" w:w="80"/>
            </w:tcMar>
            <w:vAlign w:val="center"/>
          </w:tcPr>
          <w:p>
            <w:pPr>
              <w:jc w:val="left"/>
            </w:pPr>
            <w:r>
              <w:rPr>
                <w:b/>
                <w:bCs/>
                <w:color w:val="FFFFFF"/>
                <w:sz w:val="18"/>
                <w:szCs w:val="18"/>
              </w:rPr>
              <w:t xml:space="preserve">Metric</w:t>
            </w:r>
          </w:p>
        </w:tc>
        <w:tc>
          <w:tcPr>
            <w:tcW w:type="dxa" w:w="3744"/>
            <w:shd w:fill="1F4E78" w:color="auto" w:val="clear"/>
            <w:tcMar>
              <w:top w:type="dxa" w:w="60"/>
              <w:left w:type="dxa" w:w="80"/>
              <w:bottom w:type="dxa" w:w="60"/>
              <w:right w:type="dxa" w:w="80"/>
            </w:tcMar>
            <w:vAlign w:val="center"/>
          </w:tcPr>
          <w:p>
            <w:pPr>
              <w:jc w:val="left"/>
            </w:pPr>
            <w:r>
              <w:rPr>
                <w:b/>
                <w:bCs/>
                <w:color w:val="FFFFFF"/>
                <w:sz w:val="18"/>
                <w:szCs w:val="18"/>
              </w:rPr>
              <w:t xml:space="preserve">Count</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Compliant</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6</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Partially Compliant</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2</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Non-Compliant</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1</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Under Review</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1</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Total Registered</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10</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Inspections Planned</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9</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Inspections Conducted</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8</w:t>
            </w:r>
          </w:p>
        </w:tc>
      </w:tr>
      <w:tr>
        <w:tc>
          <w:tcPr>
            <w:tcW w:type="dxa" w:w="5616"/>
            <w:shd w:fill="EAF1F8" w:color="auto" w:val="clear"/>
            <w:tcMar>
              <w:top w:type="dxa" w:w="50"/>
              <w:left w:type="dxa" w:w="80"/>
              <w:bottom w:type="dxa" w:w="50"/>
              <w:right w:type="dxa" w:w="80"/>
            </w:tcMar>
            <w:vAlign w:val="center"/>
          </w:tcPr>
          <w:p>
            <w:pPr>
              <w:jc w:val="left"/>
            </w:pPr>
            <w:r>
              <w:rPr>
                <w:b w:val="false"/>
                <w:bCs w:val="false"/>
                <w:sz w:val="17"/>
                <w:szCs w:val="17"/>
              </w:rPr>
              <w:t xml:space="preserve">Penalties Issued</w:t>
            </w:r>
          </w:p>
        </w:tc>
        <w:tc>
          <w:tcPr>
            <w:tcW w:type="dxa" w:w="3744"/>
            <w:shd w:fill="EAF1F8" w:color="auto" w:val="clear"/>
            <w:tcMar>
              <w:top w:type="dxa" w:w="50"/>
              <w:left w:type="dxa" w:w="80"/>
              <w:bottom w:type="dxa" w:w="50"/>
              <w:right w:type="dxa" w:w="80"/>
            </w:tcMar>
            <w:vAlign w:val="center"/>
          </w:tcPr>
          <w:p>
            <w:pPr>
              <w:jc w:val="right"/>
            </w:pPr>
            <w:r>
              <w:rPr>
                <w:b w:val="false"/>
                <w:bCs w:val="false"/>
                <w:sz w:val="17"/>
                <w:szCs w:val="17"/>
              </w:rPr>
              <w:t xml:space="preserve">3</w:t>
            </w:r>
          </w:p>
        </w:tc>
      </w:tr>
      <w:tr>
        <w:tc>
          <w:tcPr>
            <w:tcW w:type="dxa" w:w="5616"/>
            <w:shd w:fill="FFFFFF" w:color="auto" w:val="clear"/>
            <w:tcMar>
              <w:top w:type="dxa" w:w="50"/>
              <w:left w:type="dxa" w:w="80"/>
              <w:bottom w:type="dxa" w:w="50"/>
              <w:right w:type="dxa" w:w="80"/>
            </w:tcMar>
            <w:vAlign w:val="center"/>
          </w:tcPr>
          <w:p>
            <w:pPr>
              <w:jc w:val="left"/>
            </w:pPr>
            <w:r>
              <w:rPr>
                <w:b w:val="false"/>
                <w:bCs w:val="false"/>
                <w:sz w:val="17"/>
                <w:szCs w:val="17"/>
              </w:rPr>
              <w:t xml:space="preserve">Penalties Resolved</w:t>
            </w:r>
          </w:p>
        </w:tc>
        <w:tc>
          <w:tcPr>
            <w:tcW w:type="dxa" w:w="3744"/>
            <w:shd w:fill="FFFFFF" w:color="auto" w:val="clear"/>
            <w:tcMar>
              <w:top w:type="dxa" w:w="50"/>
              <w:left w:type="dxa" w:w="80"/>
              <w:bottom w:type="dxa" w:w="50"/>
              <w:right w:type="dxa" w:w="80"/>
            </w:tcMar>
            <w:vAlign w:val="center"/>
          </w:tcPr>
          <w:p>
            <w:pPr>
              <w:jc w:val="right"/>
            </w:pPr>
            <w:r>
              <w:rPr>
                <w:b w:val="false"/>
                <w:bCs w:val="false"/>
                <w:sz w:val="17"/>
                <w:szCs w:val="17"/>
              </w:rPr>
              <w:t xml:space="preserve">1</w:t>
            </w:r>
          </w:p>
        </w:tc>
      </w:tr>
    </w:tbl>
    <w:p>
      <w:pPr>
        <w:spacing w:after="160"/>
      </w:pPr>
      <w:r>
        <w:t xml:space="preserve">60% full compliance leaves room for improvement; the one Non-Compliant entity (Terai Home Systems, below 40% of its EPR target) and two Partially Compliant entities account for the bulk of the gap. Of the 3 penalties issued state-wide, only 1 has been resolved to date.</w:t>
      </w:r>
    </w:p>
    <w:p>
      <w:pPr>
        <w:pStyle w:val="Heading1"/>
        <w:spacing w:after="160" w:before="320"/>
      </w:pPr>
      <w:r>
        <w:t xml:space="preserve">7. Informal Sector Hotspots</w:t>
      </w:r>
    </w:p>
    <w:p>
      <w:pPr>
        <w:spacing w:after="160"/>
      </w:pPr>
      <w:r>
        <w:t xml:space="preserve">Known informal e-waste recycling clusters and their formalization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1872"/>
        <w:gridCol w:w="1498"/>
        <w:gridCol w:w="1498"/>
      </w:tblGrid>
      <w:tr>
        <w:trPr>
          <w:tblHeader/>
        </w:trPr>
        <w:tc>
          <w:tcPr>
            <w:tcW w:type="dxa" w:w="2808"/>
            <w:shd w:fill="1F4E78" w:color="auto" w:val="clear"/>
            <w:tcMar>
              <w:top w:type="dxa" w:w="60"/>
              <w:left w:type="dxa" w:w="80"/>
              <w:bottom w:type="dxa" w:w="60"/>
              <w:right w:type="dxa" w:w="80"/>
            </w:tcMar>
            <w:vAlign w:val="center"/>
          </w:tcPr>
          <w:p>
            <w:pPr>
              <w:jc w:val="left"/>
            </w:pPr>
            <w:r>
              <w:rPr>
                <w:b/>
                <w:bCs/>
                <w:color w:val="FFFFFF"/>
                <w:sz w:val="18"/>
                <w:szCs w:val="18"/>
              </w:rPr>
              <w:t xml:space="preserve">Hotspot / Cluster</w:t>
            </w:r>
          </w:p>
        </w:tc>
        <w:tc>
          <w:tcPr>
            <w:tcW w:type="dxa" w:w="1685"/>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872"/>
            <w:shd w:fill="1F4E78" w:color="auto" w:val="clear"/>
            <w:tcMar>
              <w:top w:type="dxa" w:w="60"/>
              <w:left w:type="dxa" w:w="80"/>
              <w:bottom w:type="dxa" w:w="60"/>
              <w:right w:type="dxa" w:w="80"/>
            </w:tcMar>
            <w:vAlign w:val="center"/>
          </w:tcPr>
          <w:p>
            <w:pPr>
              <w:jc w:val="left"/>
            </w:pPr>
            <w:r>
              <w:rPr>
                <w:b/>
                <w:bCs/>
                <w:color w:val="FFFFFF"/>
                <w:sz w:val="18"/>
                <w:szCs w:val="18"/>
              </w:rPr>
              <w:t xml:space="preserve">Status</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Est. Informal Workers</w:t>
            </w:r>
          </w:p>
        </w:tc>
        <w:tc>
          <w:tcPr>
            <w:tcW w:type="dxa" w:w="1498"/>
            <w:shd w:fill="1F4E78" w:color="auto" w:val="clear"/>
            <w:tcMar>
              <w:top w:type="dxa" w:w="60"/>
              <w:left w:type="dxa" w:w="80"/>
              <w:bottom w:type="dxa" w:w="60"/>
              <w:right w:type="dxa" w:w="80"/>
            </w:tcMar>
            <w:vAlign w:val="center"/>
          </w:tcPr>
          <w:p>
            <w:pPr>
              <w:jc w:val="left"/>
            </w:pPr>
            <w:r>
              <w:rPr>
                <w:b/>
                <w:bCs/>
                <w:color w:val="FFFFFF"/>
                <w:sz w:val="18"/>
                <w:szCs w:val="18"/>
              </w:rPr>
              <w:t xml:space="preserve">Workers Registered/Trained</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Patel Nagar Scrap Yard</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90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35</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Roorkee Scrap Market</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120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20</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Kashipur Scrap Cluster</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75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28</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Haldwani Old Bazaar Yard</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60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10</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Rudrapur Industrial Scrap Belt</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50</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Vikasnagar Scrap Point</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40</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5</w:t>
            </w:r>
          </w:p>
        </w:tc>
      </w:tr>
      <w:tr>
        <w:tc>
          <w:tcPr>
            <w:tcW w:type="dxa" w:w="2808"/>
            <w:shd w:fill="FFFFFF" w:color="auto" w:val="clear"/>
            <w:tcMar>
              <w:top w:type="dxa" w:w="50"/>
              <w:left w:type="dxa" w:w="80"/>
              <w:bottom w:type="dxa" w:w="50"/>
              <w:right w:type="dxa" w:w="80"/>
            </w:tcMar>
            <w:vAlign w:val="center"/>
          </w:tcPr>
          <w:p>
            <w:pPr>
              <w:jc w:val="left"/>
            </w:pPr>
            <w:r>
              <w:rPr>
                <w:b w:val="false"/>
                <w:bCs w:val="false"/>
                <w:sz w:val="17"/>
                <w:szCs w:val="17"/>
              </w:rPr>
              <w:t xml:space="preserve">Jwalapur Recycling Lane</w:t>
            </w:r>
          </w:p>
        </w:tc>
        <w:tc>
          <w:tcPr>
            <w:tcW w:type="dxa" w:w="1685"/>
            <w:shd w:fill="FFFFFF"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Partially Formalized</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85</w:t>
            </w:r>
          </w:p>
        </w:tc>
        <w:tc>
          <w:tcPr>
            <w:tcW w:type="dxa" w:w="1498"/>
            <w:shd w:fill="FFFFFF" w:color="auto" w:val="clear"/>
            <w:tcMar>
              <w:top w:type="dxa" w:w="50"/>
              <w:left w:type="dxa" w:w="80"/>
              <w:bottom w:type="dxa" w:w="50"/>
              <w:right w:type="dxa" w:w="80"/>
            </w:tcMar>
            <w:vAlign w:val="center"/>
          </w:tcPr>
          <w:p>
            <w:pPr>
              <w:jc w:val="right"/>
            </w:pPr>
            <w:r>
              <w:rPr>
                <w:b w:val="false"/>
                <w:bCs w:val="false"/>
                <w:sz w:val="17"/>
                <w:szCs w:val="17"/>
              </w:rPr>
              <w:t xml:space="preserve">30</w:t>
            </w:r>
          </w:p>
        </w:tc>
      </w:tr>
      <w:tr>
        <w:tc>
          <w:tcPr>
            <w:tcW w:type="dxa" w:w="2808"/>
            <w:shd w:fill="EAF1F8" w:color="auto" w:val="clear"/>
            <w:tcMar>
              <w:top w:type="dxa" w:w="50"/>
              <w:left w:type="dxa" w:w="80"/>
              <w:bottom w:type="dxa" w:w="50"/>
              <w:right w:type="dxa" w:w="80"/>
            </w:tcMar>
            <w:vAlign w:val="center"/>
          </w:tcPr>
          <w:p>
            <w:pPr>
              <w:jc w:val="left"/>
            </w:pPr>
            <w:r>
              <w:rPr>
                <w:b w:val="false"/>
                <w:bCs w:val="false"/>
                <w:sz w:val="17"/>
                <w:szCs w:val="17"/>
              </w:rPr>
              <w:t xml:space="preserve">Ramnagar Scrap Cluster</w:t>
            </w:r>
          </w:p>
        </w:tc>
        <w:tc>
          <w:tcPr>
            <w:tcW w:type="dxa" w:w="1685"/>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Informal</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35</w:t>
            </w:r>
          </w:p>
        </w:tc>
        <w:tc>
          <w:tcPr>
            <w:tcW w:type="dxa" w:w="1498"/>
            <w:shd w:fill="EAF1F8" w:color="auto" w:val="clear"/>
            <w:tcMar>
              <w:top w:type="dxa" w:w="50"/>
              <w:left w:type="dxa" w:w="80"/>
              <w:bottom w:type="dxa" w:w="50"/>
              <w:right w:type="dxa" w:w="80"/>
            </w:tcMar>
            <w:vAlign w:val="center"/>
          </w:tcPr>
          <w:p>
            <w:pPr>
              <w:jc w:val="right"/>
            </w:pPr>
            <w:r>
              <w:rPr>
                <w:b w:val="false"/>
                <w:bCs w:val="false"/>
                <w:sz w:val="17"/>
                <w:szCs w:val="17"/>
              </w:rPr>
              <w:t xml:space="preserve">8</w:t>
            </w:r>
          </w:p>
        </w:tc>
      </w:tr>
    </w:tbl>
    <w:p>
      <w:pPr>
        <w:spacing w:after="160"/>
      </w:pPr>
      <w:r>
        <w:t xml:space="preserve">Of an estimated 555 informal workers across 8 hotspots, 186 (33.5%) have been registered or trained under formalization programs; only Rudrapur Industrial Scrap Belt is fully formalized. This is the lowest-scoring category in the scorecard and represents the largest opportunity for targeted intervention.</w:t>
      </w:r>
    </w:p>
    <w:p>
      <w:pPr>
        <w:pStyle w:val="Heading1"/>
        <w:spacing w:after="160" w:before="320"/>
      </w:pPr>
      <w:r>
        <w:t xml:space="preserve">8. Environmental &amp; Health Monitoring</w:t>
      </w:r>
    </w:p>
    <w:p>
      <w:pPr>
        <w:spacing w:after="160"/>
      </w:pPr>
      <w:r>
        <w:t xml:space="preserve">Environmental testing and health camps conducted at informal-sector hotspots.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404"/>
        <w:gridCol w:w="1217"/>
        <w:gridCol w:w="2059"/>
        <w:gridCol w:w="936"/>
        <w:gridCol w:w="1310"/>
      </w:tblGrid>
      <w:tr>
        <w:trPr>
          <w:tblHeader/>
        </w:trPr>
        <w:tc>
          <w:tcPr>
            <w:tcW w:type="dxa" w:w="2434"/>
            <w:shd w:fill="1F4E78" w:color="auto" w:val="clear"/>
            <w:tcMar>
              <w:top w:type="dxa" w:w="60"/>
              <w:left w:type="dxa" w:w="80"/>
              <w:bottom w:type="dxa" w:w="60"/>
              <w:right w:type="dxa" w:w="80"/>
            </w:tcMar>
            <w:vAlign w:val="center"/>
          </w:tcPr>
          <w:p>
            <w:pPr>
              <w:jc w:val="left"/>
            </w:pPr>
            <w:r>
              <w:rPr>
                <w:b/>
                <w:bCs/>
                <w:color w:val="FFFFFF"/>
                <w:sz w:val="18"/>
                <w:szCs w:val="18"/>
              </w:rPr>
              <w:t xml:space="preserve">Site Monitored</w:t>
            </w:r>
          </w:p>
        </w:tc>
        <w:tc>
          <w:tcPr>
            <w:tcW w:type="dxa" w:w="1404"/>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1217"/>
            <w:shd w:fill="1F4E78" w:color="auto" w:val="clear"/>
            <w:tcMar>
              <w:top w:type="dxa" w:w="60"/>
              <w:left w:type="dxa" w:w="80"/>
              <w:bottom w:type="dxa" w:w="60"/>
              <w:right w:type="dxa" w:w="80"/>
            </w:tcMar>
            <w:vAlign w:val="center"/>
          </w:tcPr>
          <w:p>
            <w:pPr>
              <w:jc w:val="left"/>
            </w:pPr>
            <w:r>
              <w:rPr>
                <w:b/>
                <w:bCs/>
                <w:color w:val="FFFFFF"/>
                <w:sz w:val="18"/>
                <w:szCs w:val="18"/>
              </w:rPr>
              <w:t xml:space="preserve">Monitoring Type</w:t>
            </w:r>
          </w:p>
        </w:tc>
        <w:tc>
          <w:tcPr>
            <w:tcW w:type="dxa" w:w="2059"/>
            <w:shd w:fill="1F4E78" w:color="auto" w:val="clear"/>
            <w:tcMar>
              <w:top w:type="dxa" w:w="60"/>
              <w:left w:type="dxa" w:w="80"/>
              <w:bottom w:type="dxa" w:w="60"/>
              <w:right w:type="dxa" w:w="80"/>
            </w:tcMar>
            <w:vAlign w:val="center"/>
          </w:tcPr>
          <w:p>
            <w:pPr>
              <w:jc w:val="left"/>
            </w:pPr>
            <w:r>
              <w:rPr>
                <w:b/>
                <w:bCs/>
                <w:color w:val="FFFFFF"/>
                <w:sz w:val="18"/>
                <w:szCs w:val="18"/>
              </w:rPr>
              <w:t xml:space="preserve">Result</w:t>
            </w:r>
          </w:p>
        </w:tc>
        <w:tc>
          <w:tcPr>
            <w:tcW w:type="dxa" w:w="936"/>
            <w:shd w:fill="1F4E78" w:color="auto" w:val="clear"/>
            <w:tcMar>
              <w:top w:type="dxa" w:w="60"/>
              <w:left w:type="dxa" w:w="80"/>
              <w:bottom w:type="dxa" w:w="60"/>
              <w:right w:type="dxa" w:w="80"/>
            </w:tcMar>
            <w:vAlign w:val="center"/>
          </w:tcPr>
          <w:p>
            <w:pPr>
              <w:jc w:val="left"/>
            </w:pPr>
            <w:r>
              <w:rPr>
                <w:b/>
                <w:bCs/>
                <w:color w:val="FFFFFF"/>
                <w:sz w:val="18"/>
                <w:szCs w:val="18"/>
              </w:rPr>
              <w:t xml:space="preserve">Health Camp</w:t>
            </w:r>
          </w:p>
        </w:tc>
        <w:tc>
          <w:tcPr>
            <w:tcW w:type="dxa" w:w="1310"/>
            <w:shd w:fill="1F4E78" w:color="auto" w:val="clear"/>
            <w:tcMar>
              <w:top w:type="dxa" w:w="60"/>
              <w:left w:type="dxa" w:w="80"/>
              <w:bottom w:type="dxa" w:w="60"/>
              <w:right w:type="dxa" w:w="80"/>
            </w:tcMar>
            <w:vAlign w:val="center"/>
          </w:tcPr>
          <w:p>
            <w:pPr>
              <w:jc w:val="left"/>
            </w:pPr>
            <w:r>
              <w:rPr>
                <w:b/>
                <w:bCs/>
                <w:color w:val="FFFFFF"/>
                <w:sz w:val="18"/>
                <w:szCs w:val="18"/>
              </w:rPr>
              <w:t xml:space="preserve">Beneficiaries</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Patel Nagar Scrap Yard</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 + Water</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Exceeds limit (Pb, Cd)</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210</w:t>
            </w:r>
          </w:p>
        </w:tc>
      </w:tr>
      <w:tr>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Roorkee Scrap Market</w:t>
            </w:r>
          </w:p>
        </w:tc>
        <w:tc>
          <w:tcPr>
            <w:tcW w:type="dxa" w:w="1404"/>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Air Quality</w:t>
            </w:r>
          </w:p>
        </w:tc>
        <w:tc>
          <w:tcPr>
            <w:tcW w:type="dxa" w:w="2059"/>
            <w:shd w:fill="EAF1F8"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180</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Kashipur Scrap Cluster</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Exceeds limit (Pb)</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150</w:t>
            </w:r>
          </w:p>
        </w:tc>
      </w:tr>
      <w:tr>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Haldwani Old Bazaar Yard</w:t>
            </w:r>
          </w:p>
        </w:tc>
        <w:tc>
          <w:tcPr>
            <w:tcW w:type="dxa" w:w="1404"/>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Water</w:t>
            </w:r>
          </w:p>
        </w:tc>
        <w:tc>
          <w:tcPr>
            <w:tcW w:type="dxa" w:w="2059"/>
            <w:shd w:fill="EAF1F8"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EAF1F8"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0</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Rudrapur Industrial Scrap Belt</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 + Water</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260</w:t>
            </w:r>
          </w:p>
        </w:tc>
      </w:tr>
      <w:tr>
        <w:tc>
          <w:tcPr>
            <w:tcW w:type="dxa" w:w="2434"/>
            <w:shd w:fill="EAF1F8" w:color="auto" w:val="clear"/>
            <w:tcMar>
              <w:top w:type="dxa" w:w="50"/>
              <w:left w:type="dxa" w:w="80"/>
              <w:bottom w:type="dxa" w:w="50"/>
              <w:right w:type="dxa" w:w="80"/>
            </w:tcMar>
            <w:vAlign w:val="center"/>
          </w:tcPr>
          <w:p>
            <w:pPr>
              <w:jc w:val="left"/>
            </w:pPr>
            <w:r>
              <w:rPr>
                <w:b w:val="false"/>
                <w:bCs w:val="false"/>
                <w:sz w:val="17"/>
                <w:szCs w:val="17"/>
              </w:rPr>
              <w:t xml:space="preserve">Jwalapur Recycling Lane</w:t>
            </w:r>
          </w:p>
        </w:tc>
        <w:tc>
          <w:tcPr>
            <w:tcW w:type="dxa" w:w="1404"/>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1217"/>
            <w:shd w:fill="EAF1F8" w:color="auto" w:val="clear"/>
            <w:tcMar>
              <w:top w:type="dxa" w:w="50"/>
              <w:left w:type="dxa" w:w="80"/>
              <w:bottom w:type="dxa" w:w="50"/>
              <w:right w:type="dxa" w:w="80"/>
            </w:tcMar>
            <w:vAlign w:val="center"/>
          </w:tcPr>
          <w:p>
            <w:pPr>
              <w:jc w:val="left"/>
            </w:pPr>
            <w:r>
              <w:rPr>
                <w:b w:val="false"/>
                <w:bCs w:val="false"/>
                <w:sz w:val="17"/>
                <w:szCs w:val="17"/>
              </w:rPr>
              <w:t xml:space="preserve">Air Quality</w:t>
            </w:r>
          </w:p>
        </w:tc>
        <w:tc>
          <w:tcPr>
            <w:tcW w:type="dxa" w:w="2059"/>
            <w:shd w:fill="EAF1F8" w:color="auto" w:val="clear"/>
            <w:tcMar>
              <w:top w:type="dxa" w:w="50"/>
              <w:left w:type="dxa" w:w="80"/>
              <w:bottom w:type="dxa" w:w="50"/>
              <w:right w:type="dxa" w:w="80"/>
            </w:tcMar>
            <w:vAlign w:val="center"/>
          </w:tcPr>
          <w:p>
            <w:pPr>
              <w:jc w:val="left"/>
            </w:pPr>
            <w:r>
              <w:rPr>
                <w:b w:val="false"/>
                <w:bCs w:val="false"/>
                <w:sz w:val="17"/>
                <w:szCs w:val="17"/>
              </w:rPr>
              <w:t xml:space="preserve">Exceeds limit (particulate)</w:t>
            </w:r>
          </w:p>
        </w:tc>
        <w:tc>
          <w:tcPr>
            <w:tcW w:type="dxa" w:w="936"/>
            <w:shd w:fill="EAF1F8" w:color="auto" w:val="clear"/>
            <w:tcMar>
              <w:top w:type="dxa" w:w="50"/>
              <w:left w:type="dxa" w:w="80"/>
              <w:bottom w:type="dxa" w:w="50"/>
              <w:right w:type="dxa" w:w="80"/>
            </w:tcMar>
            <w:vAlign w:val="center"/>
          </w:tcPr>
          <w:p>
            <w:pPr>
              <w:jc w:val="left"/>
            </w:pPr>
            <w:r>
              <w:rPr>
                <w:b w:val="false"/>
                <w:bCs w:val="false"/>
                <w:sz w:val="17"/>
                <w:szCs w:val="17"/>
              </w:rPr>
              <w:t xml:space="preserve">Yes</w:t>
            </w:r>
          </w:p>
        </w:tc>
        <w:tc>
          <w:tcPr>
            <w:tcW w:type="dxa" w:w="1310"/>
            <w:shd w:fill="EAF1F8" w:color="auto" w:val="clear"/>
            <w:tcMar>
              <w:top w:type="dxa" w:w="50"/>
              <w:left w:type="dxa" w:w="80"/>
              <w:bottom w:type="dxa" w:w="50"/>
              <w:right w:type="dxa" w:w="80"/>
            </w:tcMar>
            <w:vAlign w:val="center"/>
          </w:tcPr>
          <w:p>
            <w:pPr>
              <w:jc w:val="right"/>
            </w:pPr>
            <w:r>
              <w:rPr>
                <w:b w:val="false"/>
                <w:bCs w:val="false"/>
                <w:sz w:val="17"/>
                <w:szCs w:val="17"/>
              </w:rPr>
              <w:t xml:space="preserve">140</w:t>
            </w:r>
          </w:p>
        </w:tc>
      </w:tr>
      <w:tr>
        <w:tc>
          <w:tcPr>
            <w:tcW w:type="dxa" w:w="2434"/>
            <w:shd w:fill="FFFFFF" w:color="auto" w:val="clear"/>
            <w:tcMar>
              <w:top w:type="dxa" w:w="50"/>
              <w:left w:type="dxa" w:w="80"/>
              <w:bottom w:type="dxa" w:w="50"/>
              <w:right w:type="dxa" w:w="80"/>
            </w:tcMar>
            <w:vAlign w:val="center"/>
          </w:tcPr>
          <w:p>
            <w:pPr>
              <w:jc w:val="left"/>
            </w:pPr>
            <w:r>
              <w:rPr>
                <w:b w:val="false"/>
                <w:bCs w:val="false"/>
                <w:sz w:val="17"/>
                <w:szCs w:val="17"/>
              </w:rPr>
              <w:t xml:space="preserve">Vikasnagar Scrap Point</w:t>
            </w:r>
          </w:p>
        </w:tc>
        <w:tc>
          <w:tcPr>
            <w:tcW w:type="dxa" w:w="1404"/>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1217"/>
            <w:shd w:fill="FFFFFF" w:color="auto" w:val="clear"/>
            <w:tcMar>
              <w:top w:type="dxa" w:w="50"/>
              <w:left w:type="dxa" w:w="80"/>
              <w:bottom w:type="dxa" w:w="50"/>
              <w:right w:type="dxa" w:w="80"/>
            </w:tcMar>
            <w:vAlign w:val="center"/>
          </w:tcPr>
          <w:p>
            <w:pPr>
              <w:jc w:val="left"/>
            </w:pPr>
            <w:r>
              <w:rPr>
                <w:b w:val="false"/>
                <w:bCs w:val="false"/>
                <w:sz w:val="17"/>
                <w:szCs w:val="17"/>
              </w:rPr>
              <w:t xml:space="preserve">Soil</w:t>
            </w:r>
          </w:p>
        </w:tc>
        <w:tc>
          <w:tcPr>
            <w:tcW w:type="dxa" w:w="2059"/>
            <w:shd w:fill="FFFFFF" w:color="auto" w:val="clear"/>
            <w:tcMar>
              <w:top w:type="dxa" w:w="50"/>
              <w:left w:type="dxa" w:w="80"/>
              <w:bottom w:type="dxa" w:w="50"/>
              <w:right w:type="dxa" w:w="80"/>
            </w:tcMar>
            <w:vAlign w:val="center"/>
          </w:tcPr>
          <w:p>
            <w:pPr>
              <w:jc w:val="left"/>
            </w:pPr>
            <w:r>
              <w:rPr>
                <w:b w:val="false"/>
                <w:bCs w:val="false"/>
                <w:sz w:val="17"/>
                <w:szCs w:val="17"/>
              </w:rPr>
              <w:t xml:space="preserve">Within limit</w:t>
            </w:r>
          </w:p>
        </w:tc>
        <w:tc>
          <w:tcPr>
            <w:tcW w:type="dxa" w:w="936"/>
            <w:shd w:fill="FFFFFF" w:color="auto" w:val="clear"/>
            <w:tcMar>
              <w:top w:type="dxa" w:w="50"/>
              <w:left w:type="dxa" w:w="80"/>
              <w:bottom w:type="dxa" w:w="50"/>
              <w:right w:type="dxa" w:w="80"/>
            </w:tcMar>
            <w:vAlign w:val="center"/>
          </w:tcPr>
          <w:p>
            <w:pPr>
              <w:jc w:val="left"/>
            </w:pPr>
            <w:r>
              <w:rPr>
                <w:b w:val="false"/>
                <w:bCs w:val="false"/>
                <w:sz w:val="17"/>
                <w:szCs w:val="17"/>
              </w:rPr>
              <w:t xml:space="preserve">No</w:t>
            </w:r>
          </w:p>
        </w:tc>
        <w:tc>
          <w:tcPr>
            <w:tcW w:type="dxa" w:w="1310"/>
            <w:shd w:fill="FFFFFF" w:color="auto" w:val="clear"/>
            <w:tcMar>
              <w:top w:type="dxa" w:w="50"/>
              <w:left w:type="dxa" w:w="80"/>
              <w:bottom w:type="dxa" w:w="50"/>
              <w:right w:type="dxa" w:w="80"/>
            </w:tcMar>
            <w:vAlign w:val="center"/>
          </w:tcPr>
          <w:p>
            <w:pPr>
              <w:jc w:val="right"/>
            </w:pPr>
            <w:r>
              <w:rPr>
                <w:b w:val="false"/>
                <w:bCs w:val="false"/>
                <w:sz w:val="17"/>
                <w:szCs w:val="17"/>
              </w:rPr>
              <w:t xml:space="preserve">0</w:t>
            </w:r>
          </w:p>
        </w:tc>
      </w:tr>
    </w:tbl>
    <w:p>
      <w:pPr>
        <w:spacing w:after="160"/>
      </w:pPr>
      <w:r>
        <w:t xml:space="preserve">3 of 7 monitored sites (Patel Nagar, Kashipur, Jwalapur) showed contamination exceeding safe limits — lead/cadmium in soil or water at two sites and particulate air pollution at one. Health camps have been conducted at 5 of 7 sites, screening 940 beneficiaries in total; camps remain pending at the two lowest-activity hotspots.</w:t>
      </w:r>
    </w:p>
    <w:p>
      <w:pPr>
        <w:pStyle w:val="Heading1"/>
        <w:spacing w:after="160" w:before="320"/>
      </w:pPr>
      <w:r>
        <w:t xml:space="preserve">9. Awareness &amp; Outreach Programs</w:t>
      </w:r>
    </w:p>
    <w:p>
      <w:pPr>
        <w:spacing w:after="160"/>
      </w:pPr>
      <w:r>
        <w:t xml:space="preserve">Public awareness campaigns, school/RWA collection drives, and retailer sensitization programs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872"/>
        <w:gridCol w:w="2246"/>
        <w:gridCol w:w="1685"/>
      </w:tblGrid>
      <w:tr>
        <w:trPr>
          <w:tblHeader/>
        </w:trPr>
        <w:tc>
          <w:tcPr>
            <w:tcW w:type="dxa" w:w="3557"/>
            <w:shd w:fill="1F4E78" w:color="auto" w:val="clear"/>
            <w:tcMar>
              <w:top w:type="dxa" w:w="60"/>
              <w:left w:type="dxa" w:w="80"/>
              <w:bottom w:type="dxa" w:w="60"/>
              <w:right w:type="dxa" w:w="80"/>
            </w:tcMar>
            <w:vAlign w:val="center"/>
          </w:tcPr>
          <w:p>
            <w:pPr>
              <w:jc w:val="left"/>
            </w:pPr>
            <w:r>
              <w:rPr>
                <w:b/>
                <w:bCs/>
                <w:color w:val="FFFFFF"/>
                <w:sz w:val="18"/>
                <w:szCs w:val="18"/>
              </w:rPr>
              <w:t xml:space="preserve">Program Name</w:t>
            </w:r>
          </w:p>
        </w:tc>
        <w:tc>
          <w:tcPr>
            <w:tcW w:type="dxa" w:w="1872"/>
            <w:shd w:fill="1F4E78" w:color="auto" w:val="clear"/>
            <w:tcMar>
              <w:top w:type="dxa" w:w="60"/>
              <w:left w:type="dxa" w:w="80"/>
              <w:bottom w:type="dxa" w:w="60"/>
              <w:right w:type="dxa" w:w="80"/>
            </w:tcMar>
            <w:vAlign w:val="center"/>
          </w:tcPr>
          <w:p>
            <w:pPr>
              <w:jc w:val="left"/>
            </w:pPr>
            <w:r>
              <w:rPr>
                <w:b/>
                <w:bCs/>
                <w:color w:val="FFFFFF"/>
                <w:sz w:val="18"/>
                <w:szCs w:val="18"/>
              </w:rPr>
              <w:t xml:space="preserve">District</w:t>
            </w:r>
          </w:p>
        </w:tc>
        <w:tc>
          <w:tcPr>
            <w:tcW w:type="dxa" w:w="2246"/>
            <w:shd w:fill="1F4E78" w:color="auto" w:val="clear"/>
            <w:tcMar>
              <w:top w:type="dxa" w:w="60"/>
              <w:left w:type="dxa" w:w="80"/>
              <w:bottom w:type="dxa" w:w="60"/>
              <w:right w:type="dxa" w:w="80"/>
            </w:tcMar>
            <w:vAlign w:val="center"/>
          </w:tcPr>
          <w:p>
            <w:pPr>
              <w:jc w:val="left"/>
            </w:pPr>
            <w:r>
              <w:rPr>
                <w:b/>
                <w:bCs/>
                <w:color w:val="FFFFFF"/>
                <w:sz w:val="18"/>
                <w:szCs w:val="18"/>
              </w:rPr>
              <w:t xml:space="preserve">Type</w:t>
            </w:r>
          </w:p>
        </w:tc>
        <w:tc>
          <w:tcPr>
            <w:tcW w:type="dxa" w:w="1685"/>
            <w:shd w:fill="1F4E78" w:color="auto" w:val="clear"/>
            <w:tcMar>
              <w:top w:type="dxa" w:w="60"/>
              <w:left w:type="dxa" w:w="80"/>
              <w:bottom w:type="dxa" w:w="60"/>
              <w:right w:type="dxa" w:w="80"/>
            </w:tcMar>
            <w:vAlign w:val="center"/>
          </w:tcPr>
          <w:p>
            <w:pPr>
              <w:jc w:val="left"/>
            </w:pPr>
            <w:r>
              <w:rPr>
                <w:b/>
                <w:bCs/>
                <w:color w:val="FFFFFF"/>
                <w:sz w:val="18"/>
                <w:szCs w:val="18"/>
              </w:rPr>
              <w:t xml:space="preserve">Participants Reached</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E-Waste Awareness Drive – Schools</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School Collection Drive</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1,200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Haridwar Kumbh Cleanup &amp; Awareness</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Public Campaign</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3,500</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RWA Take-Back Scheme Promotion</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Udham Singh Nagar</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RWA Collection Drive</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850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College E-Waste Pledge Campaign</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Nainital</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Institutional Drive</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600</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Rural Outreach – Hill Districts</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Almora</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Community Workshop</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320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Retailer Take-Back Training</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Dehradun</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Retailer Sensitization</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95</w:t>
            </w:r>
          </w:p>
        </w:tc>
      </w:tr>
      <w:tr>
        <w:tc>
          <w:tcPr>
            <w:tcW w:type="dxa" w:w="3557"/>
            <w:shd w:fill="FFFFFF" w:color="auto" w:val="clear"/>
            <w:tcMar>
              <w:top w:type="dxa" w:w="50"/>
              <w:left w:type="dxa" w:w="80"/>
              <w:bottom w:type="dxa" w:w="50"/>
              <w:right w:type="dxa" w:w="80"/>
            </w:tcMar>
            <w:vAlign w:val="center"/>
          </w:tcPr>
          <w:p>
            <w:pPr>
              <w:jc w:val="left"/>
            </w:pPr>
            <w:r>
              <w:rPr>
                <w:b w:val="false"/>
                <w:bCs w:val="false"/>
                <w:sz w:val="17"/>
                <w:szCs w:val="17"/>
              </w:rPr>
              <w:t xml:space="preserve">Uttarkashi School Collection Drive</w:t>
            </w:r>
          </w:p>
        </w:tc>
        <w:tc>
          <w:tcPr>
            <w:tcW w:type="dxa" w:w="1872"/>
            <w:shd w:fill="FFFFFF" w:color="auto" w:val="clear"/>
            <w:tcMar>
              <w:top w:type="dxa" w:w="50"/>
              <w:left w:type="dxa" w:w="80"/>
              <w:bottom w:type="dxa" w:w="50"/>
              <w:right w:type="dxa" w:w="80"/>
            </w:tcMar>
            <w:vAlign w:val="center"/>
          </w:tcPr>
          <w:p>
            <w:pPr>
              <w:jc w:val="left"/>
            </w:pPr>
            <w:r>
              <w:rPr>
                <w:b w:val="false"/>
                <w:bCs w:val="false"/>
                <w:sz w:val="17"/>
                <w:szCs w:val="17"/>
              </w:rPr>
              <w:t xml:space="preserve">Uttarkashi</w:t>
            </w:r>
          </w:p>
        </w:tc>
        <w:tc>
          <w:tcPr>
            <w:tcW w:type="dxa" w:w="2246"/>
            <w:shd w:fill="FFFFFF" w:color="auto" w:val="clear"/>
            <w:tcMar>
              <w:top w:type="dxa" w:w="50"/>
              <w:left w:type="dxa" w:w="80"/>
              <w:bottom w:type="dxa" w:w="50"/>
              <w:right w:type="dxa" w:w="80"/>
            </w:tcMar>
            <w:vAlign w:val="center"/>
          </w:tcPr>
          <w:p>
            <w:pPr>
              <w:jc w:val="left"/>
            </w:pPr>
            <w:r>
              <w:rPr>
                <w:b w:val="false"/>
                <w:bCs w:val="false"/>
                <w:sz w:val="17"/>
                <w:szCs w:val="17"/>
              </w:rPr>
              <w:t xml:space="preserve">School Collection Drive</w:t>
            </w:r>
          </w:p>
        </w:tc>
        <w:tc>
          <w:tcPr>
            <w:tcW w:type="dxa" w:w="1685"/>
            <w:shd w:fill="FFFFFF" w:color="auto" w:val="clear"/>
            <w:tcMar>
              <w:top w:type="dxa" w:w="50"/>
              <w:left w:type="dxa" w:w="80"/>
              <w:bottom w:type="dxa" w:w="50"/>
              <w:right w:type="dxa" w:w="80"/>
            </w:tcMar>
            <w:vAlign w:val="center"/>
          </w:tcPr>
          <w:p>
            <w:pPr>
              <w:jc w:val="right"/>
            </w:pPr>
            <w:r>
              <w:rPr>
                <w:b w:val="false"/>
                <w:bCs w:val="false"/>
                <w:sz w:val="17"/>
                <w:szCs w:val="17"/>
              </w:rPr>
              <w:t xml:space="preserve">210</w:t>
            </w:r>
          </w:p>
        </w:tc>
      </w:tr>
      <w:tr>
        <w:tc>
          <w:tcPr>
            <w:tcW w:type="dxa" w:w="3557"/>
            <w:shd w:fill="EAF1F8" w:color="auto" w:val="clear"/>
            <w:tcMar>
              <w:top w:type="dxa" w:w="50"/>
              <w:left w:type="dxa" w:w="80"/>
              <w:bottom w:type="dxa" w:w="50"/>
              <w:right w:type="dxa" w:w="80"/>
            </w:tcMar>
            <w:vAlign w:val="center"/>
          </w:tcPr>
          <w:p>
            <w:pPr>
              <w:jc w:val="left"/>
            </w:pPr>
            <w:r>
              <w:rPr>
                <w:b w:val="false"/>
                <w:bCs w:val="false"/>
                <w:sz w:val="17"/>
                <w:szCs w:val="17"/>
              </w:rPr>
              <w:t xml:space="preserve">Digital India Week E-Waste Booth</w:t>
            </w:r>
          </w:p>
        </w:tc>
        <w:tc>
          <w:tcPr>
            <w:tcW w:type="dxa" w:w="1872"/>
            <w:shd w:fill="EAF1F8" w:color="auto" w:val="clear"/>
            <w:tcMar>
              <w:top w:type="dxa" w:w="50"/>
              <w:left w:type="dxa" w:w="80"/>
              <w:bottom w:type="dxa" w:w="50"/>
              <w:right w:type="dxa" w:w="80"/>
            </w:tcMar>
            <w:vAlign w:val="center"/>
          </w:tcPr>
          <w:p>
            <w:pPr>
              <w:jc w:val="left"/>
            </w:pPr>
            <w:r>
              <w:rPr>
                <w:b w:val="false"/>
                <w:bCs w:val="false"/>
                <w:sz w:val="17"/>
                <w:szCs w:val="17"/>
              </w:rPr>
              <w:t xml:space="preserve">Haridwar</w:t>
            </w:r>
          </w:p>
        </w:tc>
        <w:tc>
          <w:tcPr>
            <w:tcW w:type="dxa" w:w="2246"/>
            <w:shd w:fill="EAF1F8" w:color="auto" w:val="clear"/>
            <w:tcMar>
              <w:top w:type="dxa" w:w="50"/>
              <w:left w:type="dxa" w:w="80"/>
              <w:bottom w:type="dxa" w:w="50"/>
              <w:right w:type="dxa" w:w="80"/>
            </w:tcMar>
            <w:vAlign w:val="center"/>
          </w:tcPr>
          <w:p>
            <w:pPr>
              <w:jc w:val="left"/>
            </w:pPr>
            <w:r>
              <w:rPr>
                <w:b w:val="false"/>
                <w:bCs w:val="false"/>
                <w:sz w:val="17"/>
                <w:szCs w:val="17"/>
              </w:rPr>
              <w:t xml:space="preserve">Public Campaign</w:t>
            </w:r>
          </w:p>
        </w:tc>
        <w:tc>
          <w:tcPr>
            <w:tcW w:type="dxa" w:w="1685"/>
            <w:shd w:fill="EAF1F8" w:color="auto" w:val="clear"/>
            <w:tcMar>
              <w:top w:type="dxa" w:w="50"/>
              <w:left w:type="dxa" w:w="80"/>
              <w:bottom w:type="dxa" w:w="50"/>
              <w:right w:type="dxa" w:w="80"/>
            </w:tcMar>
            <w:vAlign w:val="center"/>
          </w:tcPr>
          <w:p>
            <w:pPr>
              <w:jc w:val="right"/>
            </w:pPr>
            <w:r>
              <w:rPr>
                <w:b w:val="false"/>
                <w:bCs w:val="false"/>
                <w:sz w:val="17"/>
                <w:szCs w:val="17"/>
              </w:rPr>
              <w:t xml:space="preserve">1,400</w:t>
            </w:r>
          </w:p>
        </w:tc>
      </w:tr>
    </w:tbl>
    <w:p>
      <w:pPr>
        <w:spacing w:after="160"/>
      </w:pPr>
      <w:r>
        <w:t xml:space="preserve">8 programs reached 8,175 participants against a 5,000-person benchmark (163% of target), the strongest over-performance in the scorecard. Public campaigns (Haridwar Kumbh Cleanup, Digital India Week) drove the largest reach; only 3 of the 8 programs were structured as formal collection drives.</w:t>
      </w:r>
    </w:p>
    <w:p>
      <w:pPr>
        <w:pStyle w:val="Heading1"/>
        <w:spacing w:after="160" w:before="320"/>
      </w:pPr>
      <w:r>
        <w:t xml:space="preserve">10. Key Observations &amp; Recommendations</w:t>
      </w:r>
    </w:p>
    <w:p>
      <w:pPr>
        <w:spacing w:after="160"/>
      </w:pPr>
      <w:r>
        <w:rPr>
          <w:b/>
          <w:bCs/>
        </w:rPr>
        <w:t xml:space="preserve">Based on the patterns in this sample dataset:</w:t>
      </w:r>
    </w:p>
    <w:p>
      <w:pPr>
        <w:pStyle w:val="ListParagraph"/>
        <w:numPr>
          <w:ilvl w:val="0"/>
          <w:numId w:val="1"/>
        </w:numPr>
        <w:spacing w:after="80"/>
      </w:pPr>
      <w:r>
        <w:t xml:space="preserve">Close the collection gap: at 43.4% of generation, over half of e-waste generated is not entering the formal collection stream. Expanding registered collection centers in under-served hill districts (Uttarkashi, Bageshwar, Rudraprayag) would likely have the highest marginal impact.</w:t>
      </w:r>
    </w:p>
    <w:p>
      <w:pPr>
        <w:pStyle w:val="ListParagraph"/>
        <w:numPr>
          <w:ilvl w:val="0"/>
          <w:numId w:val="1"/>
        </w:numPr>
        <w:spacing w:after="80"/>
      </w:pPr>
      <w:r>
        <w:t xml:space="preserve">Prioritize informal-sector formalization: with only 33.5% of estimated informal workers registered or trained, this is the lowest-scoring category. Scaling the Rudrapur ‘model formalization’ approach to other hotspots is a concrete next step.</w:t>
      </w:r>
    </w:p>
    <w:p>
      <w:pPr>
        <w:pStyle w:val="ListParagraph"/>
        <w:numPr>
          <w:ilvl w:val="0"/>
          <w:numId w:val="1"/>
        </w:numPr>
        <w:spacing w:after="80"/>
      </w:pPr>
      <w:r>
        <w:t xml:space="preserve">Follow up on non-compliance and unresolved penalties: 1 producer is Non-Compliant and only 1 of 3 issued penalties has been resolved; timely resolution strengthens EPR enforcement credibility.</w:t>
      </w:r>
    </w:p>
    <w:p>
      <w:pPr>
        <w:pStyle w:val="ListParagraph"/>
        <w:numPr>
          <w:ilvl w:val="0"/>
          <w:numId w:val="1"/>
        </w:numPr>
        <w:spacing w:after="80"/>
      </w:pPr>
      <w:r>
        <w:t xml:space="preserve">Extend environmental health monitoring: 2 of 7 hotspots have no health camp scheduled despite being known informal clusters; closing this gap protects worker and community health.</w:t>
      </w:r>
    </w:p>
    <w:p>
      <w:pPr>
        <w:pStyle w:val="ListParagraph"/>
        <w:numPr>
          <w:ilvl w:val="0"/>
          <w:numId w:val="1"/>
        </w:numPr>
        <w:spacing w:after="80"/>
      </w:pPr>
      <w:r>
        <w:t xml:space="preserve">Sustain awareness momentum: outreach exceeded its participant benchmark; converting more general-awareness events into structured collection drives (currently only 3 of 8 programs) could translate awareness into measurable collection volume.</w:t>
      </w:r>
    </w:p>
    <w:p>
      <w:pPr>
        <w:spacing w:after="200"/>
      </w:pPr>
    </w:p>
    <w:p>
      <w:pPr>
        <w:pStyle w:val="Heading2"/>
        <w:spacing w:after="160" w:before="320"/>
      </w:pPr>
      <w:r>
        <w:t xml:space="preserve">Data Sources &amp; Methodology Note</w:t>
      </w:r>
    </w:p>
    <w:p>
      <w:pPr>
        <w:pBdr>
          <w:left w:val="single" w:color="C9A227" w:sz="12" w:space="8"/>
        </w:pBdr>
        <w:spacing w:after="240" w:before="80"/>
        <w:ind w:left="120"/>
      </w:pPr>
      <w:r>
        <w:rPr>
          <w:i/>
          <w:iCs/>
          <w:color w:val="808080"/>
          <w:sz w:val="18"/>
          <w:szCs w:val="18"/>
        </w:rPr>
        <w:t xml:space="preserve">All figures in this report originate from a single illustrative Excel workbook (8 linked sheets: Scorecard, Generation Inventory, Collection Log, Recycling Infrastructure, Compliance Tracker, Informal Sector Hotspots, Env. Health Monitoring, Awareness Programs) built for template and demonstration purposes. No data in this report has been sourced from CPCB, Uttarakhand SPCB, or any government publication. For an official report, replace every figure with verified data from the Uttarakhand State Pollution Control Board and CPCB's E-Waste portal.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Uttarakhand State E-Waste Management Report —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pPr>
    <w:rPr>
      <w:rFonts w:ascii="Arial" w:cs="Arial" w:eastAsia="Arial" w:hAnsi="Arial"/>
      <w:b/>
      <w:bCs/>
      <w:color w:val="1F4E78"/>
      <w:sz w:val="28"/>
      <w:szCs w:val="28"/>
    </w:rPr>
  </w:style>
  <w:style w:type="paragraph" w:styleId="Heading2">
    <w:name w:val="Heading 2"/>
    <w:basedOn w:val="Normal"/>
    <w:next w:val="Normal"/>
    <w:qFormat/>
    <w:pPr>
      <w:spacing w:after="140" w:before="28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2026-07-20T10:02:05.878Z</dcterms:created>
  <dcterms:modified xsi:type="dcterms:W3CDTF">2026-07-20T10:02:05.880Z</dcterms:modified>
</cp:coreProperties>
</file>

<file path=docProps/custom.xml><?xml version="1.0" encoding="utf-8"?>
<Properties xmlns="http://schemas.openxmlformats.org/officeDocument/2006/custom-properties" xmlns:vt="http://schemas.openxmlformats.org/officeDocument/2006/docPropsVTypes"/>
</file>