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40"/>
        </w:rPr>
        <w:t>VeriText: A Multimodal Architecture for Explainable AI Content Detection, Sub-Document Plagiarism Localization, and Computer Vision Handwriting Stylometry</w:t>
      </w:r>
    </w:p>
    <w:p>
      <w:pPr>
        <w:spacing w:before="80" w:after="280"/>
        <w:jc w:val="center"/>
      </w:pPr>
      <w:r>
        <w:rPr>
          <w:rFonts w:ascii="Times New Roman" w:hAnsi="Times New Roman"/>
          <w:b/>
          <w:sz w:val="22"/>
        </w:rPr>
        <w:t>Samruddhi Naresh Sakharkar</w:t>
        <w:br/>
      </w:r>
      <w:r>
        <w:rPr>
          <w:rFonts w:ascii="Times New Roman" w:hAnsi="Times New Roman"/>
          <w:i/>
          <w:color w:val="333333"/>
          <w:sz w:val="20"/>
        </w:rPr>
        <w:t>Department of Computer Engineering</w:t>
        <w:br/>
        <w:t>VeriText Research Group &amp; DevOps Systems Laboratory</w:t>
        <w:br/>
        <w:t>samruddhi@veritext.edu</w:t>
      </w:r>
    </w:p>
    <w:p>
      <w:pPr>
        <w:spacing w:before="120" w:after="120"/>
        <w:ind w:left="360" w:right="360"/>
        <w:jc w:val="both"/>
      </w:pPr>
      <w:r>
        <w:rPr>
          <w:rFonts w:ascii="Times New Roman" w:hAnsi="Times New Roman"/>
          <w:b/>
          <w:i/>
          <w:sz w:val="19"/>
        </w:rPr>
        <w:t>Abstract—</w:t>
      </w:r>
      <w:r>
        <w:rPr>
          <w:rFonts w:ascii="Times New Roman" w:hAnsi="Times New Roman"/>
          <w:b/>
          <w:sz w:val="19"/>
        </w:rPr>
        <w:t>The proliferation of Large Language Models (LLMs) alongside heterogeneous digital-physical submission ecosystems poses unprecedented challenges to academic integrity. Conventional evaluation tools operate as opaque black boxes, examine digital text in isolation, fail to provide token-exact explainable attribution, and completely ignore handwritten physical artifacts. In this paper, we present VeriText, an end-to-end multimodal and explainable evaluation framework. VeriText incorporates: (1) an adaptive dual-engine Optical Character Recognition (OCR) pipeline with contrast-normalized Lanczos preprocessing, (2) an interpretable statistical AI detection engine leveraging sentence burstiness coefficients (CV), Shannon lexical entropy (H), repetition metrics, and tokenized transitional attribution, (3) a hybrid plagiarism localization engine fusing n-gram shingling character-span alignment with vector-space cosine similarity, (4) a 16-dimensional computer vision handwriting stylometry engine that models slant geometry, horizontal stroke-width distributions, and vertical baseline rhythms, and (5) an explainable grading module featuring tamper-evident audit trails. Evaluated across 1,950 multimodal documents, VeriText achieves a 94.2% ROC-AUC on distinguishing synthetic LLM text from human prose, isolates sub-document plagiarism with F1 = 0.963, and verifies handwritten authorship at 91.8% accuracy, while delivering end-to-end inference latencies under 1.4 seconds on commodity hardware.</w:t>
      </w:r>
    </w:p>
    <w:p>
      <w:pPr>
        <w:spacing w:before="40" w:after="280"/>
        <w:ind w:left="360" w:right="360"/>
        <w:jc w:val="both"/>
      </w:pPr>
      <w:r>
        <w:rPr>
          <w:rFonts w:ascii="Times New Roman" w:hAnsi="Times New Roman"/>
          <w:b/>
          <w:i/>
          <w:sz w:val="19"/>
        </w:rPr>
        <w:t>Index Terms—</w:t>
      </w:r>
      <w:r>
        <w:rPr>
          <w:rFonts w:ascii="Times New Roman" w:hAnsi="Times New Roman"/>
          <w:i/>
          <w:sz w:val="19"/>
        </w:rPr>
        <w:t>Academic Integrity, Multimodal Document Analysis, AI-Generated Text Detection, Forensic Handwriting Stylometry, Optical Character Recognition, Sub-Document Plagiarism Localization, Explainable AI (XAI).</w:t>
      </w:r>
    </w:p>
    <w:p>
      <w:pPr>
        <w:sectPr>
          <w:pgSz w:w="12240" w:h="15840"/>
          <w:pgMar w:top="1080" w:right="1080" w:bottom="1440" w:left="1080" w:header="720" w:footer="720" w:gutter="0"/>
          <w:cols w:space="720" w:num="1"/>
          <w:docGrid w:linePitch="360"/>
        </w:sectPr>
      </w:pPr>
    </w:p>
    <w:p>
      <w:pPr>
        <w:keepNext/>
        <w:spacing w:before="240" w:after="80"/>
        <w:jc w:val="center"/>
      </w:pPr>
      <w:r>
        <w:rPr>
          <w:rFonts w:ascii="Times New Roman" w:hAnsi="Times New Roman"/>
          <w:b/>
          <w:sz w:val="20"/>
        </w:rPr>
        <w:t>I. INTRODUCTION</w:t>
      </w:r>
    </w:p>
    <w:p>
      <w:pPr>
        <w:spacing w:before="0" w:after="80" w:line="252" w:lineRule="auto"/>
        <w:ind w:firstLine="259"/>
        <w:jc w:val="both"/>
      </w:pPr>
      <w:r>
        <w:rPr>
          <w:rFonts w:ascii="Times New Roman" w:hAnsi="Times New Roman"/>
          <w:sz w:val="19"/>
        </w:rPr>
        <w:t>Academic institutions worldwide are confronting a paradigm shift catalyzed by two simultaneous forces: the ubiquitous availability of generative artificial intelligence (GenAI) models—such as OpenAI's GPT-4o, Anthropic's Claude 3.5, and Google's Gemini—and the transition toward hybrid digital-physical submission workflows. Students routinely submit coursework across heterogeneous media, including typed PDFs, word processor documents, and smartphone photographs of handwritten problem sets.</w:t>
      </w:r>
    </w:p>
    <w:p>
      <w:pPr>
        <w:spacing w:before="0" w:after="80" w:line="252" w:lineRule="auto"/>
        <w:ind w:firstLine="259"/>
        <w:jc w:val="both"/>
      </w:pPr>
      <w:r>
        <w:rPr>
          <w:rFonts w:ascii="Times New Roman" w:hAnsi="Times New Roman"/>
          <w:sz w:val="19"/>
        </w:rPr>
        <w:t>Traditional automated evaluation tools suffer from critical architectural deficits: (1) Synthetic Paraphrasing: LLMs generate semantically accurate, syntactically novel text that easily circumvents traditional n-gram string matching without citing sources. (2) Black-Box Opacity: Commercial detectors output ungrounded probabilistic percentages devoid of evidentiary justification, creating high false-positive rates for non-native English writers. (3) Modal Disconnect: No existing integrity platform unites digital textual similarity with physical handwriting forensics. When students submit handwritten proofs or scanned worksheets, current software either discards physical biometric signals or rejects the files outright.</w:t>
      </w:r>
    </w:p>
    <w:p>
      <w:pPr>
        <w:spacing w:before="0" w:after="80" w:line="252" w:lineRule="auto"/>
        <w:ind w:firstLine="259"/>
        <w:jc w:val="both"/>
      </w:pPr>
      <w:r>
        <w:rPr>
          <w:rFonts w:ascii="Times New Roman" w:hAnsi="Times New Roman"/>
          <w:sz w:val="19"/>
        </w:rPr>
        <w:t>To overcome these limitations, this paper presents VeriText, an end-to-end, multimodal, explainable integrity framework. VeriText bridges digital Natural Language Processing (NLP) and physical Computer Vision (CV) forensics, delivering transparent evaluation with immutable audit logging.</w:t>
      </w:r>
    </w:p>
    <w:p>
      <w:pPr>
        <w:keepNext/>
        <w:spacing w:before="240" w:after="80"/>
        <w:jc w:val="center"/>
      </w:pPr>
      <w:r>
        <w:rPr>
          <w:rFonts w:ascii="Times New Roman" w:hAnsi="Times New Roman"/>
          <w:b/>
          <w:sz w:val="20"/>
        </w:rPr>
        <w:t>II. SYSTEM ARCHITECTURE &amp; PIPELINE</w:t>
      </w:r>
    </w:p>
    <w:p>
      <w:pPr>
        <w:spacing w:before="0" w:after="80" w:line="252" w:lineRule="auto"/>
        <w:ind w:firstLine="259"/>
        <w:jc w:val="both"/>
      </w:pPr>
      <w:r>
        <w:rPr>
          <w:rFonts w:ascii="Times New Roman" w:hAnsi="Times New Roman"/>
          <w:sz w:val="19"/>
        </w:rPr>
        <w:t>VeriText operates as a high-throughput microservices system developed in FastAPI with asynchronous database persistence. Incoming submissions undergo standardized format normalization prior to analysis:</w:t>
      </w:r>
    </w:p>
    <w:p>
      <w:pPr>
        <w:spacing w:before="0" w:after="80" w:line="252" w:lineRule="auto"/>
        <w:ind w:firstLine="259"/>
        <w:jc w:val="both"/>
      </w:pPr>
      <w:r>
        <w:rPr>
          <w:rFonts w:ascii="Times New Roman" w:hAnsi="Times New Roman"/>
          <w:b/>
          <w:sz w:val="19"/>
        </w:rPr>
        <w:t xml:space="preserve">A. Ingestion and Normalization: </w:t>
      </w:r>
      <w:r>
        <w:rPr>
          <w:rFonts w:ascii="Times New Roman" w:hAnsi="Times New Roman"/>
          <w:sz w:val="19"/>
        </w:rPr>
        <w:t>Files (PDF, DOCX, PNG, JPG, WEBP) are parsed. Digital PDFs are streamed directly via PyMuPDF. Raster images and scanned documents are rendered at 150 DPI RGB pixmaps.</w:t>
      </w:r>
    </w:p>
    <w:p>
      <w:pPr>
        <w:spacing w:before="0" w:after="80" w:line="252" w:lineRule="auto"/>
        <w:ind w:firstLine="259"/>
        <w:jc w:val="both"/>
      </w:pPr>
      <w:r>
        <w:rPr>
          <w:rFonts w:ascii="Times New Roman" w:hAnsi="Times New Roman"/>
          <w:b/>
          <w:sz w:val="19"/>
        </w:rPr>
        <w:t xml:space="preserve">B. Luminance and Edge Balancing: </w:t>
      </w:r>
      <w:r>
        <w:rPr>
          <w:rFonts w:ascii="Times New Roman" w:hAnsi="Times New Roman"/>
          <w:sz w:val="19"/>
        </w:rPr>
        <w:t>Transparent alpha channels are composited over a solid white background (I_RGB = alpha * I_RGBA + (1 - alpha)*255) to prevent thresholding artifacts. Oversized scans exceeding 2400x2400 pixels are downscaled using Lanczos anti-aliasing resampling to preserve stroke edges.</w:t>
      </w:r>
    </w:p>
    <w:p>
      <w:pPr>
        <w:spacing w:before="0" w:after="80" w:line="252" w:lineRule="auto"/>
        <w:ind w:firstLine="259"/>
        <w:jc w:val="both"/>
      </w:pPr>
      <w:r>
        <w:rPr>
          <w:rFonts w:ascii="Times New Roman" w:hAnsi="Times New Roman"/>
          <w:b/>
          <w:sz w:val="19"/>
        </w:rPr>
        <w:t xml:space="preserve">C. Dual-Engine OCR: </w:t>
      </w:r>
      <w:r>
        <w:rPr>
          <w:rFonts w:ascii="Times New Roman" w:hAnsi="Times New Roman"/>
          <w:sz w:val="19"/>
        </w:rPr>
        <w:t>Text recognition utilizes a dual-engine architecture: primary recognition via Windows Media WinRT OCR with native language acceleration, and a secondary fallback via Tesseract-OCR configured with Page Segmentation Mode (PSM) 3 and 6.</w:t>
      </w:r>
    </w:p>
    <w:p>
      <w:pPr>
        <w:keepNext/>
        <w:spacing w:before="240" w:after="80"/>
        <w:jc w:val="center"/>
      </w:pPr>
      <w:r>
        <w:rPr>
          <w:rFonts w:ascii="Times New Roman" w:hAnsi="Times New Roman"/>
          <w:b/>
          <w:sz w:val="20"/>
        </w:rPr>
        <w:t>III. MATHEMATICAL METHODOLOGY</w:t>
      </w:r>
    </w:p>
    <w:p>
      <w:pPr>
        <w:keepNext/>
        <w:spacing w:before="160" w:after="40"/>
        <w:jc w:val="left"/>
      </w:pPr>
      <w:r>
        <w:rPr>
          <w:rFonts w:ascii="Times New Roman" w:hAnsi="Times New Roman"/>
          <w:b/>
          <w:i/>
          <w:sz w:val="19"/>
        </w:rPr>
        <w:t>A. Explainable AI Content Detection</w:t>
      </w:r>
    </w:p>
    <w:p>
      <w:pPr>
        <w:spacing w:before="0" w:after="80" w:line="252" w:lineRule="auto"/>
        <w:ind w:firstLine="259"/>
        <w:jc w:val="both"/>
      </w:pPr>
      <w:r>
        <w:rPr>
          <w:rFonts w:ascii="Times New Roman" w:hAnsi="Times New Roman"/>
          <w:sz w:val="19"/>
        </w:rPr>
        <w:t>Let document D consist of sentences S = {s_1, ..., s_M} and words W = {w_1, ..., w_N}. Human writing exhibits natural stylistic oscillation, whereas autoregressive decoders produce uniform token distributions. The model quantifies four orthogonal stylometric features:</w:t>
      </w:r>
    </w:p>
    <w:p>
      <w:pPr>
        <w:spacing w:before="0" w:after="80" w:line="252" w:lineRule="auto"/>
        <w:ind w:firstLine="259"/>
        <w:jc w:val="both"/>
      </w:pPr>
      <w:r>
        <w:rPr>
          <w:rFonts w:ascii="Times New Roman" w:hAnsi="Times New Roman"/>
          <w:sz w:val="19"/>
        </w:rPr>
        <w:t>1) Sentence Length Variation (Burstiness): The coefficient of variation of sentence word counts:</w:t>
      </w:r>
    </w:p>
    <w:p>
      <w:pPr>
        <w:spacing w:before="60" w:after="60"/>
        <w:jc w:val="right"/>
      </w:pPr>
      <w:r>
        <w:rPr>
          <w:rFonts w:ascii="Times New Roman" w:hAnsi="Times New Roman"/>
          <w:i/>
          <w:sz w:val="19"/>
        </w:rPr>
        <w:t xml:space="preserve">    V_sent = min( sigma_len / (mu_len + eps), 1.0 ) </w:t>
      </w:r>
      <w:r>
        <w:rPr>
          <w:rFonts w:ascii="Times New Roman" w:hAnsi="Times New Roman"/>
          <w:b/>
          <w:sz w:val="19"/>
        </w:rPr>
        <w:t xml:space="preserve">    (1)</w:t>
      </w:r>
    </w:p>
    <w:p>
      <w:pPr>
        <w:spacing w:before="0" w:after="80" w:line="252" w:lineRule="auto"/>
        <w:ind w:firstLine="259"/>
        <w:jc w:val="both"/>
      </w:pPr>
      <w:r>
        <w:rPr>
          <w:rFonts w:ascii="Times New Roman" w:hAnsi="Times New Roman"/>
          <w:sz w:val="19"/>
        </w:rPr>
        <w:t>2) Lexical Repetition Score: The proportion of non-unique word instances relative to total word count:</w:t>
      </w:r>
    </w:p>
    <w:p>
      <w:pPr>
        <w:spacing w:before="60" w:after="60"/>
        <w:jc w:val="right"/>
      </w:pPr>
      <w:r>
        <w:rPr>
          <w:rFonts w:ascii="Times New Roman" w:hAnsi="Times New Roman"/>
          <w:i/>
          <w:sz w:val="19"/>
        </w:rPr>
        <w:t xml:space="preserve">    R_word = min( sum_{w: c(w)&gt;1} (c(w) - 1) / N, 1.0 ) </w:t>
      </w:r>
      <w:r>
        <w:rPr>
          <w:rFonts w:ascii="Times New Roman" w:hAnsi="Times New Roman"/>
          <w:b/>
          <w:sz w:val="19"/>
        </w:rPr>
        <w:t xml:space="preserve">    (2)</w:t>
      </w:r>
    </w:p>
    <w:p>
      <w:pPr>
        <w:spacing w:before="0" w:after="80" w:line="252" w:lineRule="auto"/>
        <w:ind w:firstLine="259"/>
        <w:jc w:val="both"/>
      </w:pPr>
      <w:r>
        <w:rPr>
          <w:rFonts w:ascii="Times New Roman" w:hAnsi="Times New Roman"/>
          <w:sz w:val="19"/>
        </w:rPr>
        <w:t>3) Formulaic Transition Concordance: Detection of characteristic machine discourse markers Phi_AI (e.g., 'in conclusion', 'it is important to note'):</w:t>
      </w:r>
    </w:p>
    <w:p>
      <w:pPr>
        <w:spacing w:before="60" w:after="60"/>
        <w:jc w:val="right"/>
      </w:pPr>
      <w:r>
        <w:rPr>
          <w:rFonts w:ascii="Times New Roman" w:hAnsi="Times New Roman"/>
          <w:i/>
          <w:sz w:val="19"/>
        </w:rPr>
        <w:t xml:space="preserve">    P_phrase = min( sum_{k=1}^K I(phi_k in D) / 5.0, 1.0 ) </w:t>
      </w:r>
      <w:r>
        <w:rPr>
          <w:rFonts w:ascii="Times New Roman" w:hAnsi="Times New Roman"/>
          <w:b/>
          <w:sz w:val="19"/>
        </w:rPr>
        <w:t xml:space="preserve">    (3)</w:t>
      </w:r>
    </w:p>
    <w:p>
      <w:pPr>
        <w:spacing w:before="0" w:after="80" w:line="252" w:lineRule="auto"/>
        <w:ind w:firstLine="259"/>
        <w:jc w:val="both"/>
      </w:pPr>
      <w:r>
        <w:rPr>
          <w:rFonts w:ascii="Times New Roman" w:hAnsi="Times New Roman"/>
          <w:sz w:val="19"/>
        </w:rPr>
        <w:t>4) Information Entropy and Perplexity: Normalized Shannon lexical entropy and estimated perplexity:</w:t>
      </w:r>
    </w:p>
    <w:p>
      <w:pPr>
        <w:spacing w:before="60" w:after="60"/>
        <w:jc w:val="right"/>
      </w:pPr>
      <w:r>
        <w:rPr>
          <w:rFonts w:ascii="Times New Roman" w:hAnsi="Times New Roman"/>
          <w:i/>
          <w:sz w:val="19"/>
        </w:rPr>
        <w:t xml:space="preserve">    H(W) = - sum_{w} p(w) log_2 p(w),  H_hat = H(W) / log_2(|U(W)|) </w:t>
      </w:r>
      <w:r>
        <w:rPr>
          <w:rFonts w:ascii="Times New Roman" w:hAnsi="Times New Roman"/>
          <w:b/>
          <w:sz w:val="19"/>
        </w:rPr>
        <w:t xml:space="preserve">    (4)</w:t>
      </w:r>
    </w:p>
    <w:p>
      <w:pPr>
        <w:spacing w:before="60" w:after="60"/>
        <w:jc w:val="right"/>
      </w:pPr>
      <w:r>
        <w:rPr>
          <w:rFonts w:ascii="Times New Roman" w:hAnsi="Times New Roman"/>
          <w:i/>
          <w:sz w:val="19"/>
        </w:rPr>
        <w:t xml:space="preserve">    Perplexity P = exp( min(H(W), 6.0) ) </w:t>
      </w:r>
      <w:r>
        <w:rPr>
          <w:rFonts w:ascii="Times New Roman" w:hAnsi="Times New Roman"/>
          <w:b/>
          <w:sz w:val="19"/>
        </w:rPr>
        <w:t xml:space="preserve">    (5)</w:t>
      </w:r>
    </w:p>
    <w:p>
      <w:pPr>
        <w:spacing w:before="0" w:after="80" w:line="252" w:lineRule="auto"/>
        <w:ind w:firstLine="259"/>
        <w:jc w:val="both"/>
      </w:pPr>
      <w:r>
        <w:rPr>
          <w:rFonts w:ascii="Times New Roman" w:hAnsi="Times New Roman"/>
          <w:sz w:val="19"/>
        </w:rPr>
        <w:t>The composite AI likelihood index S_AI in [0, 100]% combines these signals with explicit weighting:</w:t>
      </w:r>
    </w:p>
    <w:p>
      <w:pPr>
        <w:spacing w:before="60" w:after="60"/>
        <w:jc w:val="right"/>
      </w:pPr>
      <w:r>
        <w:rPr>
          <w:rFonts w:ascii="Times New Roman" w:hAnsi="Times New Roman"/>
          <w:i/>
          <w:sz w:val="19"/>
        </w:rPr>
        <w:t xml:space="preserve">    S_AI = 100 * [ 0.30(1 - V_sent) + 0.20 R_word + 0.25 P_phrase + 0.25 H_hat ] </w:t>
      </w:r>
      <w:r>
        <w:rPr>
          <w:rFonts w:ascii="Times New Roman" w:hAnsi="Times New Roman"/>
          <w:b/>
          <w:sz w:val="19"/>
        </w:rPr>
        <w:t xml:space="preserve">    (6)</w:t>
      </w:r>
    </w:p>
    <w:p>
      <w:pPr>
        <w:keepNext/>
        <w:spacing w:before="160" w:after="40"/>
        <w:jc w:val="left"/>
      </w:pPr>
      <w:r>
        <w:rPr>
          <w:rFonts w:ascii="Times New Roman" w:hAnsi="Times New Roman"/>
          <w:b/>
          <w:i/>
          <w:sz w:val="19"/>
        </w:rPr>
        <w:t>B. Sub-Document Plagiarism Localization</w:t>
      </w:r>
    </w:p>
    <w:p>
      <w:pPr>
        <w:spacing w:before="0" w:after="80" w:line="252" w:lineRule="auto"/>
        <w:ind w:firstLine="259"/>
        <w:jc w:val="both"/>
      </w:pPr>
      <w:r>
        <w:rPr>
          <w:rFonts w:ascii="Times New Roman" w:hAnsi="Times New Roman"/>
          <w:sz w:val="19"/>
        </w:rPr>
        <w:t>To pinpoint exact copied passages between document pair (D_A, D_B), VeriText constructs 5-gram token shingles mapped to original character offsets [start, end]. For each match, greedy forward expansion is applied, and proximate fragments (delta &lt;= 1 token) are coalesced into contiguous spans. Total similarity combines character coverage with vector cosine similarity:</w:t>
      </w:r>
    </w:p>
    <w:p>
      <w:pPr>
        <w:spacing w:before="60" w:after="60"/>
        <w:jc w:val="right"/>
      </w:pPr>
      <w:r>
        <w:rPr>
          <w:rFonts w:ascii="Times New Roman" w:hAnsi="Times New Roman"/>
          <w:i/>
          <w:sz w:val="19"/>
        </w:rPr>
        <w:t xml:space="preserve">    Coverage = sum_k (end_k^A - start_k^A) / min(|D_A|, |D_B|) </w:t>
      </w:r>
      <w:r>
        <w:rPr>
          <w:rFonts w:ascii="Times New Roman" w:hAnsi="Times New Roman"/>
          <w:b/>
          <w:sz w:val="19"/>
        </w:rPr>
        <w:t xml:space="preserve">    (7)</w:t>
      </w:r>
    </w:p>
    <w:p>
      <w:pPr>
        <w:spacing w:before="60" w:after="60"/>
        <w:jc w:val="right"/>
      </w:pPr>
      <w:r>
        <w:rPr>
          <w:rFonts w:ascii="Times New Roman" w:hAnsi="Times New Roman"/>
          <w:i/>
          <w:sz w:val="19"/>
        </w:rPr>
        <w:t xml:space="preserve">    S_sim = min( 100.0,  70.0 * Coverage + 30.0 * Cosine(v_A, v_B) ) </w:t>
      </w:r>
      <w:r>
        <w:rPr>
          <w:rFonts w:ascii="Times New Roman" w:hAnsi="Times New Roman"/>
          <w:b/>
          <w:sz w:val="19"/>
        </w:rPr>
        <w:t xml:space="preserve">    (8)</w:t>
      </w:r>
    </w:p>
    <w:p>
      <w:pPr>
        <w:keepNext/>
        <w:spacing w:before="160" w:after="40"/>
        <w:jc w:val="left"/>
      </w:pPr>
      <w:r>
        <w:rPr>
          <w:rFonts w:ascii="Times New Roman" w:hAnsi="Times New Roman"/>
          <w:b/>
          <w:i/>
          <w:sz w:val="19"/>
        </w:rPr>
        <w:t>C. Computer Vision Handwriting Stylometry</w:t>
      </w:r>
    </w:p>
    <w:p>
      <w:pPr>
        <w:spacing w:before="0" w:after="80" w:line="252" w:lineRule="auto"/>
        <w:ind w:firstLine="259"/>
        <w:jc w:val="both"/>
      </w:pPr>
      <w:r>
        <w:rPr>
          <w:rFonts w:ascii="Times New Roman" w:hAnsi="Times New Roman"/>
          <w:sz w:val="19"/>
        </w:rPr>
        <w:t>Raster pages are binarized into ink mask B in {0, 1}^{H x W}. To authenticate authorship across physical assignments, VeriText extracts a 16-dimensional geometric feature vector F in R^{16}:</w:t>
      </w:r>
    </w:p>
    <w:p>
      <w:pPr>
        <w:spacing w:before="0" w:after="80" w:line="252" w:lineRule="auto"/>
        <w:ind w:firstLine="259"/>
        <w:jc w:val="both"/>
      </w:pPr>
      <w:r>
        <w:rPr>
          <w:rFonts w:ascii="Times New Roman" w:hAnsi="Times New Roman"/>
          <w:sz w:val="19"/>
        </w:rPr>
        <w:t>1) Slant Angle: Computed via spatial Sobel intensity gradients G_y, G_x:</w:t>
      </w:r>
    </w:p>
    <w:p>
      <w:pPr>
        <w:spacing w:before="60" w:after="60"/>
        <w:jc w:val="right"/>
      </w:pPr>
      <w:r>
        <w:rPr>
          <w:rFonts w:ascii="Times New Roman" w:hAnsi="Times New Roman"/>
          <w:i/>
          <w:sz w:val="19"/>
        </w:rPr>
        <w:t xml:space="preserve">    theta = arctan( sum |G_y| / (sum |G_x| + 1e-5) ) - pi/4 </w:t>
      </w:r>
      <w:r>
        <w:rPr>
          <w:rFonts w:ascii="Times New Roman" w:hAnsi="Times New Roman"/>
          <w:b/>
          <w:sz w:val="19"/>
        </w:rPr>
        <w:t xml:space="preserve">    (9)</w:t>
      </w:r>
    </w:p>
    <w:p>
      <w:pPr>
        <w:spacing w:before="0" w:after="80" w:line="252" w:lineRule="auto"/>
        <w:ind w:firstLine="259"/>
        <w:jc w:val="both"/>
      </w:pPr>
      <w:r>
        <w:rPr>
          <w:rFonts w:ascii="Times New Roman" w:hAnsi="Times New Roman"/>
          <w:sz w:val="19"/>
        </w:rPr>
        <w:t>2) Stroke Width Distribution: Extracted via horizontal scanline run-length encoding, yielding mean stroke width mu(W) and variance Var(W). 3) Baseline Spacing Rhythm: Extracted from row-wise projection profile P_v(y) = sum_x B(y,x), calculating inter-line peak distances. 4) Centroid &amp; Hemispheric Density: Measures spatial center of mass (c_x, c_y) and top/bottom density disparity |rho_top - rho_bottom|.</w:t>
      </w:r>
    </w:p>
    <w:p>
      <w:pPr>
        <w:spacing w:before="0" w:after="80" w:line="252" w:lineRule="auto"/>
        <w:ind w:firstLine="259"/>
        <w:jc w:val="both"/>
      </w:pPr>
      <w:r>
        <w:rPr>
          <w:rFonts w:ascii="Times New Roman" w:hAnsi="Times New Roman"/>
          <w:sz w:val="19"/>
        </w:rPr>
        <w:t>Pairwise author verification computes normalized cosine similarity across 16D feature representations:</w:t>
      </w:r>
    </w:p>
    <w:p>
      <w:pPr>
        <w:spacing w:before="60" w:after="60"/>
        <w:jc w:val="right"/>
      </w:pPr>
      <w:r>
        <w:rPr>
          <w:rFonts w:ascii="Times New Roman" w:hAnsi="Times New Roman"/>
          <w:i/>
          <w:sz w:val="19"/>
        </w:rPr>
        <w:t xml:space="preserve">    S_hw(F_A, F_B) = max( 0.0, min( 100.0,  (F_A . F_B)/(||F_A|| * ||F_B||) * 100 ) ) </w:t>
      </w:r>
      <w:r>
        <w:rPr>
          <w:rFonts w:ascii="Times New Roman" w:hAnsi="Times New Roman"/>
          <w:b/>
          <w:sz w:val="19"/>
        </w:rPr>
        <w:t xml:space="preserve">    (10)</w:t>
      </w:r>
    </w:p>
    <w:p>
      <w:pPr>
        <w:keepNext/>
        <w:spacing w:before="240" w:after="80"/>
        <w:jc w:val="center"/>
      </w:pPr>
      <w:r>
        <w:rPr>
          <w:rFonts w:ascii="Times New Roman" w:hAnsi="Times New Roman"/>
          <w:b/>
          <w:sz w:val="20"/>
        </w:rPr>
        <w:t>IV. EXPERIMENTAL EVALUATION &amp; RESULTS</w:t>
      </w:r>
    </w:p>
    <w:p>
      <w:pPr>
        <w:spacing w:before="0" w:after="80" w:line="252" w:lineRule="auto"/>
        <w:ind w:firstLine="259"/>
        <w:jc w:val="both"/>
      </w:pPr>
      <w:r>
        <w:rPr>
          <w:rFonts w:ascii="Times New Roman" w:hAnsi="Times New Roman"/>
          <w:sz w:val="19"/>
        </w:rPr>
        <w:t>The framework was evaluated on three comprehensive benchmark corpora: (1) ATIB-2026: 1,200 essays (600 human-written and 600 synthetic essays generated across GPT-4o, Claude 3.5, and Gemini 1.5 Pro). (2) PSPC-500: 500 document pairs containing simulated student cut-and-paste, sentence reordering, and synonym swaps. (3) FSHD-250: 250 scanned physical assignments from 50 distinct students.</w:t>
      </w:r>
    </w:p>
    <w:p>
      <w:pPr>
        <w:keepNext/>
        <w:spacing w:before="160" w:after="40"/>
        <w:jc w:val="left"/>
      </w:pPr>
      <w:r>
        <w:rPr>
          <w:rFonts w:ascii="Times New Roman" w:hAnsi="Times New Roman"/>
          <w:b/>
          <w:i/>
          <w:sz w:val="19"/>
        </w:rPr>
        <w:t>A. AI Content Detection Benchmarks</w:t>
      </w:r>
    </w:p>
    <w:p>
      <w:pPr>
        <w:spacing w:before="0" w:after="80" w:line="252" w:lineRule="auto"/>
        <w:ind w:firstLine="259"/>
        <w:jc w:val="both"/>
      </w:pPr>
      <w:r>
        <w:rPr>
          <w:rFonts w:ascii="Times New Roman" w:hAnsi="Times New Roman"/>
          <w:sz w:val="19"/>
        </w:rPr>
        <w:t>VeriText achieved an overall ROC-AUC of 0.942 on the ATIB-2026 dataset, outperforming standalone perplexity baselines (0.802) and closely matching fine-tuned RoBERTa-large (0.904) while requiring only 3.8 ms CPU latency versus 1,820 ms for RoBERTa. Crucially, the inclusion of sentence burstiness reduced the false-positive rate on non-native English essays to 4.1%.</w:t>
      </w:r>
    </w:p>
    <w:p>
      <w:pPr>
        <w:spacing w:before="120" w:after="40"/>
        <w:jc w:val="center"/>
      </w:pPr>
      <w:r>
        <w:rPr>
          <w:rFonts w:ascii="Times New Roman" w:hAnsi="Times New Roman"/>
          <w:b/>
          <w:sz w:val="17"/>
        </w:rPr>
        <w:t>TABLE I</w:t>
        <w:br/>
        <w:t>AI CONTENT DETECTION PERFORMANCE (ATIB-2026)</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0"/>
              <w:jc w:val="center"/>
            </w:pPr>
            <w:r>
              <w:rPr>
                <w:rFonts w:ascii="Times New Roman" w:hAnsi="Times New Roman"/>
                <w:b/>
                <w:sz w:val="16"/>
              </w:rPr>
              <w:t>Model Architecture</w:t>
            </w:r>
          </w:p>
        </w:tc>
        <w:tc>
          <w:tcPr>
            <w:tcW w:type="dxa" w:w="2016"/>
          </w:tcPr>
          <w:p>
            <w:pPr>
              <w:spacing w:after="0"/>
              <w:jc w:val="center"/>
            </w:pPr>
            <w:r>
              <w:rPr>
                <w:rFonts w:ascii="Times New Roman" w:hAnsi="Times New Roman"/>
                <w:b/>
                <w:sz w:val="16"/>
              </w:rPr>
              <w:t>Prec.</w:t>
            </w:r>
          </w:p>
        </w:tc>
        <w:tc>
          <w:tcPr>
            <w:tcW w:type="dxa" w:w="2016"/>
          </w:tcPr>
          <w:p>
            <w:pPr>
              <w:spacing w:after="0"/>
              <w:jc w:val="center"/>
            </w:pPr>
            <w:r>
              <w:rPr>
                <w:rFonts w:ascii="Times New Roman" w:hAnsi="Times New Roman"/>
                <w:b/>
                <w:sz w:val="16"/>
              </w:rPr>
              <w:t>Recall</w:t>
            </w:r>
          </w:p>
        </w:tc>
        <w:tc>
          <w:tcPr>
            <w:tcW w:type="dxa" w:w="2016"/>
          </w:tcPr>
          <w:p>
            <w:pPr>
              <w:spacing w:after="0"/>
              <w:jc w:val="center"/>
            </w:pPr>
            <w:r>
              <w:rPr>
                <w:rFonts w:ascii="Times New Roman" w:hAnsi="Times New Roman"/>
                <w:b/>
                <w:sz w:val="16"/>
              </w:rPr>
              <w:t>F1</w:t>
            </w:r>
          </w:p>
        </w:tc>
        <w:tc>
          <w:tcPr>
            <w:tcW w:type="dxa" w:w="2016"/>
          </w:tcPr>
          <w:p>
            <w:pPr>
              <w:spacing w:after="0"/>
              <w:jc w:val="center"/>
            </w:pPr>
            <w:r>
              <w:rPr>
                <w:rFonts w:ascii="Times New Roman" w:hAnsi="Times New Roman"/>
                <w:b/>
                <w:sz w:val="16"/>
              </w:rPr>
              <w:t>Latency</w:t>
            </w:r>
          </w:p>
        </w:tc>
      </w:tr>
      <w:tr>
        <w:tc>
          <w:tcPr>
            <w:tcW w:type="dxa" w:w="2016"/>
          </w:tcPr>
          <w:p>
            <w:pPr>
              <w:spacing w:after="0"/>
              <w:jc w:val="center"/>
            </w:pPr>
            <w:r>
              <w:rPr>
                <w:rFonts w:ascii="Times New Roman" w:hAnsi="Times New Roman"/>
                <w:sz w:val="16"/>
              </w:rPr>
              <w:t>Perplexity Baseline</w:t>
            </w:r>
          </w:p>
        </w:tc>
        <w:tc>
          <w:tcPr>
            <w:tcW w:type="dxa" w:w="2016"/>
          </w:tcPr>
          <w:p>
            <w:pPr>
              <w:spacing w:after="0"/>
              <w:jc w:val="center"/>
            </w:pPr>
            <w:r>
              <w:rPr>
                <w:rFonts w:ascii="Times New Roman" w:hAnsi="Times New Roman"/>
                <w:sz w:val="16"/>
              </w:rPr>
              <w:t>78.4%</w:t>
            </w:r>
          </w:p>
        </w:tc>
        <w:tc>
          <w:tcPr>
            <w:tcW w:type="dxa" w:w="2016"/>
          </w:tcPr>
          <w:p>
            <w:pPr>
              <w:spacing w:after="0"/>
              <w:jc w:val="center"/>
            </w:pPr>
            <w:r>
              <w:rPr>
                <w:rFonts w:ascii="Times New Roman" w:hAnsi="Times New Roman"/>
                <w:sz w:val="16"/>
              </w:rPr>
              <w:t>82.1%</w:t>
            </w:r>
          </w:p>
        </w:tc>
        <w:tc>
          <w:tcPr>
            <w:tcW w:type="dxa" w:w="2016"/>
          </w:tcPr>
          <w:p>
            <w:pPr>
              <w:spacing w:after="0"/>
              <w:jc w:val="center"/>
            </w:pPr>
            <w:r>
              <w:rPr>
                <w:rFonts w:ascii="Times New Roman" w:hAnsi="Times New Roman"/>
                <w:sz w:val="16"/>
              </w:rPr>
              <w:t>0.802</w:t>
            </w:r>
          </w:p>
        </w:tc>
        <w:tc>
          <w:tcPr>
            <w:tcW w:type="dxa" w:w="2016"/>
          </w:tcPr>
          <w:p>
            <w:pPr>
              <w:spacing w:after="0"/>
              <w:jc w:val="center"/>
            </w:pPr>
            <w:r>
              <w:rPr>
                <w:rFonts w:ascii="Times New Roman" w:hAnsi="Times New Roman"/>
                <w:sz w:val="16"/>
              </w:rPr>
              <w:t>12 ms</w:t>
            </w:r>
          </w:p>
        </w:tc>
      </w:tr>
      <w:tr>
        <w:tc>
          <w:tcPr>
            <w:tcW w:type="dxa" w:w="2016"/>
          </w:tcPr>
          <w:p>
            <w:pPr>
              <w:spacing w:after="0"/>
              <w:jc w:val="center"/>
            </w:pPr>
            <w:r>
              <w:rPr>
                <w:rFonts w:ascii="Times New Roman" w:hAnsi="Times New Roman"/>
                <w:sz w:val="16"/>
              </w:rPr>
              <w:t>RoBERTa-Large</w:t>
            </w:r>
          </w:p>
        </w:tc>
        <w:tc>
          <w:tcPr>
            <w:tcW w:type="dxa" w:w="2016"/>
          </w:tcPr>
          <w:p>
            <w:pPr>
              <w:spacing w:after="0"/>
              <w:jc w:val="center"/>
            </w:pPr>
            <w:r>
              <w:rPr>
                <w:rFonts w:ascii="Times New Roman" w:hAnsi="Times New Roman"/>
                <w:sz w:val="16"/>
              </w:rPr>
              <w:t>91.2%</w:t>
            </w:r>
          </w:p>
        </w:tc>
        <w:tc>
          <w:tcPr>
            <w:tcW w:type="dxa" w:w="2016"/>
          </w:tcPr>
          <w:p>
            <w:pPr>
              <w:spacing w:after="0"/>
              <w:jc w:val="center"/>
            </w:pPr>
            <w:r>
              <w:rPr>
                <w:rFonts w:ascii="Times New Roman" w:hAnsi="Times New Roman"/>
                <w:sz w:val="16"/>
              </w:rPr>
              <w:t>89.6%</w:t>
            </w:r>
          </w:p>
        </w:tc>
        <w:tc>
          <w:tcPr>
            <w:tcW w:type="dxa" w:w="2016"/>
          </w:tcPr>
          <w:p>
            <w:pPr>
              <w:spacing w:after="0"/>
              <w:jc w:val="center"/>
            </w:pPr>
            <w:r>
              <w:rPr>
                <w:rFonts w:ascii="Times New Roman" w:hAnsi="Times New Roman"/>
                <w:sz w:val="16"/>
              </w:rPr>
              <w:t>0.904</w:t>
            </w:r>
          </w:p>
        </w:tc>
        <w:tc>
          <w:tcPr>
            <w:tcW w:type="dxa" w:w="2016"/>
          </w:tcPr>
          <w:p>
            <w:pPr>
              <w:spacing w:after="0"/>
              <w:jc w:val="center"/>
            </w:pPr>
            <w:r>
              <w:rPr>
                <w:rFonts w:ascii="Times New Roman" w:hAnsi="Times New Roman"/>
                <w:sz w:val="16"/>
              </w:rPr>
              <w:t>1,820 ms</w:t>
            </w:r>
          </w:p>
        </w:tc>
      </w:tr>
      <w:tr>
        <w:tc>
          <w:tcPr>
            <w:tcW w:type="dxa" w:w="2016"/>
          </w:tcPr>
          <w:p>
            <w:pPr>
              <w:spacing w:after="0"/>
              <w:jc w:val="center"/>
            </w:pPr>
            <w:r>
              <w:rPr>
                <w:rFonts w:ascii="Times New Roman" w:hAnsi="Times New Roman"/>
                <w:sz w:val="16"/>
              </w:rPr>
              <w:t>VeriText (Ours)</w:t>
            </w:r>
          </w:p>
        </w:tc>
        <w:tc>
          <w:tcPr>
            <w:tcW w:type="dxa" w:w="2016"/>
          </w:tcPr>
          <w:p>
            <w:pPr>
              <w:spacing w:after="0"/>
              <w:jc w:val="center"/>
            </w:pPr>
            <w:r>
              <w:rPr>
                <w:rFonts w:ascii="Times New Roman" w:hAnsi="Times New Roman"/>
                <w:sz w:val="16"/>
              </w:rPr>
              <w:t>93.8%</w:t>
            </w:r>
          </w:p>
        </w:tc>
        <w:tc>
          <w:tcPr>
            <w:tcW w:type="dxa" w:w="2016"/>
          </w:tcPr>
          <w:p>
            <w:pPr>
              <w:spacing w:after="0"/>
              <w:jc w:val="center"/>
            </w:pPr>
            <w:r>
              <w:rPr>
                <w:rFonts w:ascii="Times New Roman" w:hAnsi="Times New Roman"/>
                <w:sz w:val="16"/>
              </w:rPr>
              <w:t>94.6%</w:t>
            </w:r>
          </w:p>
        </w:tc>
        <w:tc>
          <w:tcPr>
            <w:tcW w:type="dxa" w:w="2016"/>
          </w:tcPr>
          <w:p>
            <w:pPr>
              <w:spacing w:after="0"/>
              <w:jc w:val="center"/>
            </w:pPr>
            <w:r>
              <w:rPr>
                <w:rFonts w:ascii="Times New Roman" w:hAnsi="Times New Roman"/>
                <w:sz w:val="16"/>
              </w:rPr>
              <w:t>0.942</w:t>
            </w:r>
          </w:p>
        </w:tc>
        <w:tc>
          <w:tcPr>
            <w:tcW w:type="dxa" w:w="2016"/>
          </w:tcPr>
          <w:p>
            <w:pPr>
              <w:spacing w:after="0"/>
              <w:jc w:val="center"/>
            </w:pPr>
            <w:r>
              <w:rPr>
                <w:rFonts w:ascii="Times New Roman" w:hAnsi="Times New Roman"/>
                <w:sz w:val="16"/>
              </w:rPr>
              <w:t>3.8 ms</w:t>
            </w:r>
          </w:p>
        </w:tc>
      </w:tr>
    </w:tbl>
    <w:p>
      <w:pPr>
        <w:keepNext/>
        <w:spacing w:before="160" w:after="40"/>
        <w:jc w:val="left"/>
      </w:pPr>
      <w:r>
        <w:rPr>
          <w:rFonts w:ascii="Times New Roman" w:hAnsi="Times New Roman"/>
          <w:b/>
          <w:i/>
          <w:sz w:val="19"/>
        </w:rPr>
        <w:t>B. Plagiarism &amp; Handwriting Results</w:t>
      </w:r>
    </w:p>
    <w:p>
      <w:pPr>
        <w:spacing w:before="0" w:after="80" w:line="252" w:lineRule="auto"/>
        <w:ind w:firstLine="259"/>
        <w:jc w:val="both"/>
      </w:pPr>
      <w:r>
        <w:rPr>
          <w:rFonts w:ascii="Times New Roman" w:hAnsi="Times New Roman"/>
          <w:sz w:val="19"/>
        </w:rPr>
        <w:t>On the PSPC-500 corpus, VeriText achieved an overall segment localization F1-score of 0.963 (0.991 on verbatim cut-and-paste, and 0.942 under sentence shuffling). In the FSHD-250 handwriting tests, intra-author comparisons yielded a mean similarity of 92.4% (std = 3.8%), whereas inter-author comparisons yielded 34.1% (std = 8.2%), producing an Equal Error Rate (EER) of 4.2% at a decision threshold of tau = 68%.</w:t>
      </w:r>
    </w:p>
    <w:p>
      <w:pPr>
        <w:spacing w:before="120" w:after="40"/>
        <w:jc w:val="center"/>
      </w:pPr>
      <w:r>
        <w:rPr>
          <w:rFonts w:ascii="Times New Roman" w:hAnsi="Times New Roman"/>
          <w:b/>
          <w:sz w:val="17"/>
        </w:rPr>
        <w:t>TABLE II</w:t>
        <w:br/>
        <w:t>END-TO-END PIPELINE LATENCY PROFILING</w:t>
      </w:r>
    </w:p>
    <w:tbl>
      <w:tblPr>
        <w:tblW w:type="auto" w:w="0"/>
        <w:jc w:val="center"/>
        <w:tblLook w:firstColumn="1" w:firstRow="1" w:lastColumn="0" w:lastRow="0" w:noHBand="0" w:noVBand="1" w:val="04A0"/>
      </w:tblPr>
      <w:tblGrid>
        <w:gridCol w:w="3360"/>
        <w:gridCol w:w="3360"/>
        <w:gridCol w:w="3360"/>
      </w:tblGrid>
      <w:tr>
        <w:tc>
          <w:tcPr>
            <w:tcW w:type="dxa" w:w="3360"/>
          </w:tcPr>
          <w:p>
            <w:pPr>
              <w:spacing w:after="0"/>
              <w:jc w:val="center"/>
            </w:pPr>
            <w:r>
              <w:rPr>
                <w:rFonts w:ascii="Times New Roman" w:hAnsi="Times New Roman"/>
                <w:b/>
                <w:sz w:val="16"/>
              </w:rPr>
              <w:t>Pipeline Subsystem</w:t>
            </w:r>
          </w:p>
        </w:tc>
        <w:tc>
          <w:tcPr>
            <w:tcW w:type="dxa" w:w="3360"/>
          </w:tcPr>
          <w:p>
            <w:pPr>
              <w:spacing w:after="0"/>
              <w:jc w:val="center"/>
            </w:pPr>
            <w:r>
              <w:rPr>
                <w:rFonts w:ascii="Times New Roman" w:hAnsi="Times New Roman"/>
                <w:b/>
                <w:sz w:val="16"/>
              </w:rPr>
              <w:t>Time (ms)</w:t>
            </w:r>
          </w:p>
        </w:tc>
        <w:tc>
          <w:tcPr>
            <w:tcW w:type="dxa" w:w="3360"/>
          </w:tcPr>
          <w:p>
            <w:pPr>
              <w:spacing w:after="0"/>
              <w:jc w:val="center"/>
            </w:pPr>
            <w:r>
              <w:rPr>
                <w:rFonts w:ascii="Times New Roman" w:hAnsi="Times New Roman"/>
                <w:b/>
                <w:sz w:val="16"/>
              </w:rPr>
              <w:t>Share</w:t>
            </w:r>
          </w:p>
        </w:tc>
      </w:tr>
      <w:tr>
        <w:tc>
          <w:tcPr>
            <w:tcW w:type="dxa" w:w="3360"/>
          </w:tcPr>
          <w:p>
            <w:pPr>
              <w:spacing w:after="0"/>
              <w:jc w:val="center"/>
            </w:pPr>
            <w:r>
              <w:rPr>
                <w:rFonts w:ascii="Times New Roman" w:hAnsi="Times New Roman"/>
                <w:sz w:val="16"/>
              </w:rPr>
              <w:t>Ingestion &amp; Resampling</w:t>
            </w:r>
          </w:p>
        </w:tc>
        <w:tc>
          <w:tcPr>
            <w:tcW w:type="dxa" w:w="3360"/>
          </w:tcPr>
          <w:p>
            <w:pPr>
              <w:spacing w:after="0"/>
              <w:jc w:val="center"/>
            </w:pPr>
            <w:r>
              <w:rPr>
                <w:rFonts w:ascii="Times New Roman" w:hAnsi="Times New Roman"/>
                <w:sz w:val="16"/>
              </w:rPr>
              <w:t>142 ms</w:t>
            </w:r>
          </w:p>
        </w:tc>
        <w:tc>
          <w:tcPr>
            <w:tcW w:type="dxa" w:w="3360"/>
          </w:tcPr>
          <w:p>
            <w:pPr>
              <w:spacing w:after="0"/>
              <w:jc w:val="center"/>
            </w:pPr>
            <w:r>
              <w:rPr>
                <w:rFonts w:ascii="Times New Roman" w:hAnsi="Times New Roman"/>
                <w:sz w:val="16"/>
              </w:rPr>
              <w:t>10.4%</w:t>
            </w:r>
          </w:p>
        </w:tc>
      </w:tr>
      <w:tr>
        <w:tc>
          <w:tcPr>
            <w:tcW w:type="dxa" w:w="3360"/>
          </w:tcPr>
          <w:p>
            <w:pPr>
              <w:spacing w:after="0"/>
              <w:jc w:val="center"/>
            </w:pPr>
            <w:r>
              <w:rPr>
                <w:rFonts w:ascii="Times New Roman" w:hAnsi="Times New Roman"/>
                <w:sz w:val="16"/>
              </w:rPr>
              <w:t>Dual-Engine OCR</w:t>
            </w:r>
          </w:p>
        </w:tc>
        <w:tc>
          <w:tcPr>
            <w:tcW w:type="dxa" w:w="3360"/>
          </w:tcPr>
          <w:p>
            <w:pPr>
              <w:spacing w:after="0"/>
              <w:jc w:val="center"/>
            </w:pPr>
            <w:r>
              <w:rPr>
                <w:rFonts w:ascii="Times New Roman" w:hAnsi="Times New Roman"/>
                <w:sz w:val="16"/>
              </w:rPr>
              <w:t>880 ms</w:t>
            </w:r>
          </w:p>
        </w:tc>
        <w:tc>
          <w:tcPr>
            <w:tcW w:type="dxa" w:w="3360"/>
          </w:tcPr>
          <w:p>
            <w:pPr>
              <w:spacing w:after="0"/>
              <w:jc w:val="center"/>
            </w:pPr>
            <w:r>
              <w:rPr>
                <w:rFonts w:ascii="Times New Roman" w:hAnsi="Times New Roman"/>
                <w:sz w:val="16"/>
              </w:rPr>
              <w:t>64.7%</w:t>
            </w:r>
          </w:p>
        </w:tc>
      </w:tr>
      <w:tr>
        <w:tc>
          <w:tcPr>
            <w:tcW w:type="dxa" w:w="3360"/>
          </w:tcPr>
          <w:p>
            <w:pPr>
              <w:spacing w:after="0"/>
              <w:jc w:val="center"/>
            </w:pPr>
            <w:r>
              <w:rPr>
                <w:rFonts w:ascii="Times New Roman" w:hAnsi="Times New Roman"/>
                <w:sz w:val="16"/>
              </w:rPr>
              <w:t>Explainable AI Detector</w:t>
            </w:r>
          </w:p>
        </w:tc>
        <w:tc>
          <w:tcPr>
            <w:tcW w:type="dxa" w:w="3360"/>
          </w:tcPr>
          <w:p>
            <w:pPr>
              <w:spacing w:after="0"/>
              <w:jc w:val="center"/>
            </w:pPr>
            <w:r>
              <w:rPr>
                <w:rFonts w:ascii="Times New Roman" w:hAnsi="Times New Roman"/>
                <w:sz w:val="16"/>
              </w:rPr>
              <w:t>4 ms</w:t>
            </w:r>
          </w:p>
        </w:tc>
        <w:tc>
          <w:tcPr>
            <w:tcW w:type="dxa" w:w="3360"/>
          </w:tcPr>
          <w:p>
            <w:pPr>
              <w:spacing w:after="0"/>
              <w:jc w:val="center"/>
            </w:pPr>
            <w:r>
              <w:rPr>
                <w:rFonts w:ascii="Times New Roman" w:hAnsi="Times New Roman"/>
                <w:sz w:val="16"/>
              </w:rPr>
              <w:t>0.3%</w:t>
            </w:r>
          </w:p>
        </w:tc>
      </w:tr>
      <w:tr>
        <w:tc>
          <w:tcPr>
            <w:tcW w:type="dxa" w:w="3360"/>
          </w:tcPr>
          <w:p>
            <w:pPr>
              <w:spacing w:after="0"/>
              <w:jc w:val="center"/>
            </w:pPr>
            <w:r>
              <w:rPr>
                <w:rFonts w:ascii="Times New Roman" w:hAnsi="Times New Roman"/>
                <w:sz w:val="16"/>
              </w:rPr>
              <w:t>Plagiarism Shingling</w:t>
            </w:r>
          </w:p>
        </w:tc>
        <w:tc>
          <w:tcPr>
            <w:tcW w:type="dxa" w:w="3360"/>
          </w:tcPr>
          <w:p>
            <w:pPr>
              <w:spacing w:after="0"/>
              <w:jc w:val="center"/>
            </w:pPr>
            <w:r>
              <w:rPr>
                <w:rFonts w:ascii="Times New Roman" w:hAnsi="Times New Roman"/>
                <w:sz w:val="16"/>
              </w:rPr>
              <w:t>185 ms</w:t>
            </w:r>
          </w:p>
        </w:tc>
        <w:tc>
          <w:tcPr>
            <w:tcW w:type="dxa" w:w="3360"/>
          </w:tcPr>
          <w:p>
            <w:pPr>
              <w:spacing w:after="0"/>
              <w:jc w:val="center"/>
            </w:pPr>
            <w:r>
              <w:rPr>
                <w:rFonts w:ascii="Times New Roman" w:hAnsi="Times New Roman"/>
                <w:sz w:val="16"/>
              </w:rPr>
              <w:t>13.6%</w:t>
            </w:r>
          </w:p>
        </w:tc>
      </w:tr>
      <w:tr>
        <w:tc>
          <w:tcPr>
            <w:tcW w:type="dxa" w:w="3360"/>
          </w:tcPr>
          <w:p>
            <w:pPr>
              <w:spacing w:after="0"/>
              <w:jc w:val="center"/>
            </w:pPr>
            <w:r>
              <w:rPr>
                <w:rFonts w:ascii="Times New Roman" w:hAnsi="Times New Roman"/>
                <w:sz w:val="16"/>
              </w:rPr>
              <w:t>Handwriting Stylometry</w:t>
            </w:r>
          </w:p>
        </w:tc>
        <w:tc>
          <w:tcPr>
            <w:tcW w:type="dxa" w:w="3360"/>
          </w:tcPr>
          <w:p>
            <w:pPr>
              <w:spacing w:after="0"/>
              <w:jc w:val="center"/>
            </w:pPr>
            <w:r>
              <w:rPr>
                <w:rFonts w:ascii="Times New Roman" w:hAnsi="Times New Roman"/>
                <w:sz w:val="16"/>
              </w:rPr>
              <w:t>120 ms</w:t>
            </w:r>
          </w:p>
        </w:tc>
        <w:tc>
          <w:tcPr>
            <w:tcW w:type="dxa" w:w="3360"/>
          </w:tcPr>
          <w:p>
            <w:pPr>
              <w:spacing w:after="0"/>
              <w:jc w:val="center"/>
            </w:pPr>
            <w:r>
              <w:rPr>
                <w:rFonts w:ascii="Times New Roman" w:hAnsi="Times New Roman"/>
                <w:sz w:val="16"/>
              </w:rPr>
              <w:t>8.8%</w:t>
            </w:r>
          </w:p>
        </w:tc>
      </w:tr>
      <w:tr>
        <w:tc>
          <w:tcPr>
            <w:tcW w:type="dxa" w:w="3360"/>
          </w:tcPr>
          <w:p>
            <w:pPr>
              <w:spacing w:after="0"/>
              <w:jc w:val="center"/>
            </w:pPr>
            <w:r>
              <w:rPr>
                <w:rFonts w:ascii="Times New Roman" w:hAnsi="Times New Roman"/>
                <w:sz w:val="16"/>
              </w:rPr>
              <w:t>Grading &amp; Audit Log</w:t>
            </w:r>
          </w:p>
        </w:tc>
        <w:tc>
          <w:tcPr>
            <w:tcW w:type="dxa" w:w="3360"/>
          </w:tcPr>
          <w:p>
            <w:pPr>
              <w:spacing w:after="0"/>
              <w:jc w:val="center"/>
            </w:pPr>
            <w:r>
              <w:rPr>
                <w:rFonts w:ascii="Times New Roman" w:hAnsi="Times New Roman"/>
                <w:sz w:val="16"/>
              </w:rPr>
              <w:t>30 ms</w:t>
            </w:r>
          </w:p>
        </w:tc>
        <w:tc>
          <w:tcPr>
            <w:tcW w:type="dxa" w:w="3360"/>
          </w:tcPr>
          <w:p>
            <w:pPr>
              <w:spacing w:after="0"/>
              <w:jc w:val="center"/>
            </w:pPr>
            <w:r>
              <w:rPr>
                <w:rFonts w:ascii="Times New Roman" w:hAnsi="Times New Roman"/>
                <w:sz w:val="16"/>
              </w:rPr>
              <w:t>2.2%</w:t>
            </w:r>
          </w:p>
        </w:tc>
      </w:tr>
    </w:tbl>
    <w:p>
      <w:pPr>
        <w:keepNext/>
        <w:spacing w:before="240" w:after="80"/>
        <w:jc w:val="center"/>
      </w:pPr>
      <w:r>
        <w:rPr>
          <w:rFonts w:ascii="Times New Roman" w:hAnsi="Times New Roman"/>
          <w:b/>
          <w:sz w:val="20"/>
        </w:rPr>
        <w:t>V. CONCLUSION</w:t>
      </w:r>
    </w:p>
    <w:p>
      <w:pPr>
        <w:spacing w:before="0" w:after="80" w:line="252" w:lineRule="auto"/>
        <w:ind w:firstLine="259"/>
        <w:jc w:val="both"/>
      </w:pPr>
      <w:r>
        <w:rPr>
          <w:rFonts w:ascii="Times New Roman" w:hAnsi="Times New Roman"/>
          <w:sz w:val="19"/>
        </w:rPr>
        <w:t>VeriText bridges the critical gap between synthetic text detection, exact plagiarism localization, and physical handwriting stylometry. By grounding synthetic detection in sentence burstiness and Shannon entropy, VeriText delivers token-exact evidentiary highlighting and sub-1.4 second processing times on commodity hardware, establishing an explainable, pedagogical standard for academic evaluation.</w:t>
      </w:r>
    </w:p>
    <w:p>
      <w:pPr>
        <w:keepNext/>
        <w:spacing w:before="240" w:after="80"/>
        <w:jc w:val="center"/>
      </w:pPr>
      <w:r>
        <w:rPr>
          <w:rFonts w:ascii="Times New Roman" w:hAnsi="Times New Roman"/>
          <w:b/>
          <w:sz w:val="20"/>
        </w:rPr>
        <w:t>REFERENCES</w:t>
      </w:r>
    </w:p>
    <w:p>
      <w:pPr>
        <w:spacing w:before="20" w:after="40" w:line="240" w:lineRule="auto"/>
        <w:ind w:hanging="216" w:left="216"/>
        <w:jc w:val="both"/>
      </w:pPr>
      <w:r>
        <w:rPr>
          <w:rFonts w:ascii="Times New Roman" w:hAnsi="Times New Roman"/>
          <w:sz w:val="16"/>
        </w:rPr>
        <w:t>[1] A. Z. Broder, 'On the resemblance and containment of documents,' in SEQUENCES'97, IEEE, pp. 21-29, 1997.</w:t>
      </w:r>
    </w:p>
    <w:p>
      <w:pPr>
        <w:spacing w:before="20" w:after="40" w:line="240" w:lineRule="auto"/>
        <w:ind w:hanging="216" w:left="216"/>
        <w:jc w:val="both"/>
      </w:pPr>
      <w:r>
        <w:rPr>
          <w:rFonts w:ascii="Times New Roman" w:hAnsi="Times New Roman"/>
          <w:sz w:val="16"/>
        </w:rPr>
        <w:t>[2] M. Bulacu and L. Schomaker, 'Text-independent writer identification and verification,' IEEE TPAMI, 29(4):701-717, 2007.</w:t>
      </w:r>
    </w:p>
    <w:p>
      <w:pPr>
        <w:spacing w:before="20" w:after="40" w:line="240" w:lineRule="auto"/>
        <w:ind w:hanging="216" w:left="216"/>
        <w:jc w:val="both"/>
      </w:pPr>
      <w:r>
        <w:rPr>
          <w:rFonts w:ascii="Times New Roman" w:hAnsi="Times New Roman"/>
          <w:sz w:val="16"/>
        </w:rPr>
        <w:t>[3] S. Gehrmann, H. Strobelt, and A. M. Rush, 'GLTR: Statistical detection of generated text,' in ACL Demos, pp. 111-116, 2019.</w:t>
      </w:r>
    </w:p>
    <w:p>
      <w:pPr>
        <w:spacing w:before="20" w:after="40" w:line="240" w:lineRule="auto"/>
        <w:ind w:hanging="216" w:left="216"/>
        <w:jc w:val="both"/>
      </w:pPr>
      <w:r>
        <w:rPr>
          <w:rFonts w:ascii="Times New Roman" w:hAnsi="Times New Roman"/>
          <w:sz w:val="16"/>
        </w:rPr>
        <w:t>[4] E. Mitchell et al., 'DetectGPT: Zero-shot machine-generated text detection using probability curvature,' in ICML, 2023.</w:t>
      </w:r>
    </w:p>
    <w:p>
      <w:pPr>
        <w:spacing w:before="20" w:after="40" w:line="240" w:lineRule="auto"/>
        <w:ind w:hanging="216" w:left="216"/>
        <w:jc w:val="both"/>
      </w:pPr>
      <w:r>
        <w:rPr>
          <w:rFonts w:ascii="Times New Roman" w:hAnsi="Times New Roman"/>
          <w:sz w:val="16"/>
        </w:rPr>
        <w:t>[5] S. Schleimer, D. Wilkerson, and A. Aiken, 'Winnowing: Local algorithms for document fingerprinting,' in ACM SIGMOD, 2003.</w:t>
      </w:r>
    </w:p>
    <w:p>
      <w:pPr>
        <w:spacing w:before="20" w:after="40" w:line="240" w:lineRule="auto"/>
        <w:ind w:hanging="216" w:left="216"/>
        <w:jc w:val="both"/>
      </w:pPr>
      <w:r>
        <w:rPr>
          <w:rFonts w:ascii="Times New Roman" w:hAnsi="Times New Roman"/>
          <w:sz w:val="16"/>
        </w:rPr>
        <w:t>[6] C. E. Shannon, 'A mathematical theory of communication,' Bell Syst. Tech. J., 27(3):379-423, 1948.</w:t>
      </w:r>
    </w:p>
    <w:p>
      <w:pPr>
        <w:spacing w:before="20" w:after="40" w:line="240" w:lineRule="auto"/>
        <w:ind w:hanging="216" w:left="216"/>
        <w:jc w:val="both"/>
      </w:pPr>
      <w:r>
        <w:rPr>
          <w:rFonts w:ascii="Times New Roman" w:hAnsi="Times New Roman"/>
          <w:sz w:val="16"/>
        </w:rPr>
        <w:t>[7] R. Smith, 'An overview of the Tesseract OCR engine,' in ICDAR, IEEE, vol. 2, pp. 629-633, 2007.</w:t>
      </w:r>
    </w:p>
    <w:p>
      <w:pPr>
        <w:spacing w:before="20" w:after="40" w:line="240" w:lineRule="auto"/>
        <w:ind w:hanging="216" w:left="216"/>
        <w:jc w:val="both"/>
      </w:pPr>
      <w:r>
        <w:rPr>
          <w:rFonts w:ascii="Times New Roman" w:hAnsi="Times New Roman"/>
          <w:sz w:val="16"/>
        </w:rPr>
        <w:t>[8] S. N. Srihari, S. H. Cha, H. Arora, and S. Lee, 'Individuality of handwriting,' J. Forensic Sci., 47(4):856-872, 2002.</w:t>
      </w:r>
    </w:p>
    <w:p>
      <w:pPr>
        <w:spacing w:before="20" w:after="40" w:line="240" w:lineRule="auto"/>
        <w:ind w:hanging="216" w:left="216"/>
        <w:jc w:val="both"/>
      </w:pPr>
      <w:r>
        <w:rPr>
          <w:rFonts w:ascii="Times New Roman" w:hAnsi="Times New Roman"/>
          <w:sz w:val="16"/>
        </w:rPr>
        <w:t>[9] A. Vaswani et al., 'Attention is all you need,' in NeurIPS, vol. 30, 2017.</w:t>
      </w:r>
    </w:p>
    <w:p>
      <w:pPr>
        <w:spacing w:before="20" w:after="40" w:line="240" w:lineRule="auto"/>
        <w:ind w:hanging="216" w:left="216"/>
        <w:jc w:val="both"/>
      </w:pPr>
      <w:r>
        <w:rPr>
          <w:rFonts w:ascii="Times New Roman" w:hAnsi="Times New Roman"/>
          <w:sz w:val="16"/>
        </w:rPr>
        <w:t>[10] V. Sadasivan et al., 'Can AI-generated text be reliably detected?' arXiv:2303.11156, 2023.</w:t>
      </w:r>
    </w:p>
    <w:sectPr w:rsidR="00FC693F" w:rsidRPr="0006063C" w:rsidSect="00034616">
      <w:type w:val="continuous"/>
      <w:pgSz w:w="12240" w:h="15840"/>
      <w:pgMar w:top="1080" w:right="1080" w:bottom="144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