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0F172A"/>
          <w:sz w:val="34"/>
        </w:rPr>
        <w:t>VeriText: A Multimodal Architecture for Explainable AI Content Detection, Sub-Document Plagiarism Localization, and Computer Vision Handwriting Stylometry in Academic Evaluation</w:t>
      </w:r>
    </w:p>
    <w:p>
      <w:pPr>
        <w:spacing w:before="80" w:after="280"/>
        <w:jc w:val="center"/>
      </w:pPr>
      <w:r>
        <w:rPr>
          <w:rFonts w:ascii="Arial" w:hAnsi="Arial"/>
          <w:b/>
          <w:color w:val="1E3A8A"/>
          <w:sz w:val="23"/>
        </w:rPr>
        <w:t>Samruddhi Naresh Sakharkar</w:t>
        <w:br/>
      </w:r>
      <w:r>
        <w:rPr>
          <w:rFonts w:ascii="Times New Roman" w:hAnsi="Times New Roman"/>
          <w:i/>
          <w:color w:val="475569"/>
          <w:sz w:val="20"/>
        </w:rPr>
        <w:t>Department of Computer Engineering | VeriText Research Group &amp; DevOps Engineering Laboratory</w:t>
        <w:br/>
        <w:t>Email: samruddhi@veritext.edu</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2563EB"/>
              <w:bottom w:val="none"/>
              <w:right w:val="none"/>
            </w:tcBorders>
          </w:tcPr>
          <w:p>
            <w:pPr>
              <w:spacing w:after="0" w:line="276" w:lineRule="auto"/>
            </w:pPr>
            <w:r>
              <w:rPr>
                <w:rFonts w:ascii="Arial" w:hAnsi="Arial"/>
                <w:b/>
                <w:color w:val="1E40AF"/>
                <w:sz w:val="21"/>
              </w:rPr>
              <w:t>ABSTRACT</w:t>
              <w:br/>
            </w:r>
            <w:r>
              <w:rPr>
                <w:rFonts w:ascii="Times New Roman" w:hAnsi="Times New Roman"/>
                <w:i/>
                <w:color w:val="334155"/>
                <w:sz w:val="20"/>
              </w:rPr>
              <w:t>The proliferation of Large Language Models (LLMs) alongside distributed digital learning environments has created unprecedented challenges for academic integrity. Existing automated detection platforms suffer from critical structural limitations: they treat submissions as purely digital strings, operate as opaque black boxes without character-level explainability, fail to support multimodal physical-to-digital workflows (e.g., handwritten assignments), and exhibit high false-positive rates on non-native English writing. In this paper, we present VeriText, an end-to-end, multimodal, and explainable academic evaluation framework. VeriText integrates: (1) an adaptive dual-engine Optical Character Recognition (OCR) pipeline featuring contrast-normalized Lanczos preprocessing, (2) an interpretable statistical AI detection engine leveraging sentence burstiness coefficients (CV), Shannon lexical entropy (H), repetition metrics, and tokenized transitional attribution, (3) a hybrid plagiarism engine combining n-gram shingling character-span alignment with word-frequency vector-space cosine similarity, (4) a 16-dimensional computer vision handwriting stylometry engine that models slant geometry, horizontal stroke-width variation, and baseline vertical projection rhythms, and (5) a rule-based explainable automated grading module with cryptographically traceable audit trails. Experimental evaluation demonstrates that VeriText achieves a 94.2% ROC-AUC on distinguishing contemporary generative AI content from human academic prose, pinpoints sub-document plagiarism with token-exact offset accuracy (F1 = 0.963), and distinguishes distinct handwritten authors with 91.8% verification accuracy across scanned document corpora, all while delivering real-time processing latencies under 1.4 seconds per submission.</w:t>
            </w:r>
          </w:p>
        </w:tc>
      </w:tr>
    </w:tbl>
    <w:p>
      <w:pPr>
        <w:spacing w:before="40" w:after="40"/>
      </w:pPr>
    </w:p>
    <w:p>
      <w:pPr>
        <w:spacing w:before="80" w:after="280"/>
      </w:pPr>
      <w:r>
        <w:rPr>
          <w:rFonts w:ascii="Arial" w:hAnsi="Arial"/>
          <w:b/>
          <w:sz w:val="20"/>
        </w:rPr>
        <w:t>Keywords—</w:t>
      </w:r>
      <w:r>
        <w:rPr>
          <w:rFonts w:ascii="Times New Roman" w:hAnsi="Times New Roman"/>
          <w:i/>
          <w:sz w:val="20"/>
        </w:rPr>
        <w:t>Academic Integrity, Multimodal Document Analysis, AI-Generated Text Detection, Forensic Handwriting Stylometry, Optical Character Recognition, Sub-Document Plagiarism Localization, Explainable AI (XAI).</w:t>
      </w:r>
    </w:p>
    <w:p>
      <w:pPr>
        <w:pStyle w:val="Heading1"/>
        <w:keepNext/>
        <w:spacing w:before="280" w:after="80"/>
      </w:pPr>
      <w:r>
        <w:rPr>
          <w:rFonts w:ascii="Arial" w:hAnsi="Arial"/>
          <w:b/>
          <w:color w:val="111827"/>
          <w:sz w:val="30"/>
        </w:rPr>
        <w:t>1. Introduction</w:t>
      </w:r>
    </w:p>
    <w:p>
      <w:pPr>
        <w:spacing w:after="100" w:line="276" w:lineRule="auto"/>
      </w:pPr>
      <w:r>
        <w:rPr>
          <w:rFonts w:ascii="Times New Roman" w:hAnsi="Times New Roman"/>
          <w:i w:val="0"/>
          <w:color w:val="1F2937"/>
          <w:sz w:val="21"/>
        </w:rPr>
        <w:t>Academic institutions worldwide are confronting a paradigm shift catalyzed by two simultaneous forces: the ubiquitous availability of generative artificial intelligence (GenAI) systems—such as OpenAI's GPT-4, Anthropic's Claude, and Google's Gemini—and the transition toward hybrid digital-physical submission ecosystems. Students frequently submit coursework across heterogeneous media, including digital PDFs, word processor documents, photographed handwritten problem sets, and digitized laboratory notebooks.</w:t>
      </w:r>
    </w:p>
    <w:p>
      <w:pPr>
        <w:spacing w:after="100" w:line="276" w:lineRule="auto"/>
      </w:pPr>
      <w:r>
        <w:rPr>
          <w:rFonts w:ascii="Times New Roman" w:hAnsi="Times New Roman"/>
          <w:i w:val="0"/>
          <w:color w:val="1F2937"/>
          <w:sz w:val="21"/>
        </w:rPr>
        <w:t>While traditional plagiarism detection solutions (such as Turnitin and standard string-matching utilities) were constructed for exact or near-duplicate web scraping, they fundamentally fail in the face of:</w:t>
      </w:r>
    </w:p>
    <w:p>
      <w:pPr>
        <w:spacing w:after="100" w:line="276" w:lineRule="auto"/>
      </w:pPr>
      <w:r>
        <w:rPr>
          <w:rFonts w:ascii="Times New Roman" w:hAnsi="Times New Roman"/>
          <w:b/>
          <w:color w:val="1F2937"/>
          <w:sz w:val="21"/>
        </w:rPr>
        <w:t xml:space="preserve">• Synthetic Paraphrasing: </w:t>
      </w:r>
      <w:r>
        <w:rPr>
          <w:rFonts w:ascii="Times New Roman" w:hAnsi="Times New Roman"/>
          <w:i w:val="0"/>
          <w:color w:val="1F2937"/>
          <w:sz w:val="21"/>
        </w:rPr>
        <w:t>LLMs generate semantically accurate, syntactically coherent text that bypasses conventional string-matching without citing sources.</w:t>
      </w:r>
    </w:p>
    <w:p>
      <w:pPr>
        <w:spacing w:after="100" w:line="276" w:lineRule="auto"/>
      </w:pPr>
      <w:r>
        <w:rPr>
          <w:rFonts w:ascii="Times New Roman" w:hAnsi="Times New Roman"/>
          <w:b/>
          <w:color w:val="1F2937"/>
          <w:sz w:val="21"/>
        </w:rPr>
        <w:t xml:space="preserve">• Black-Box Opacity: </w:t>
      </w:r>
      <w:r>
        <w:rPr>
          <w:rFonts w:ascii="Times New Roman" w:hAnsi="Times New Roman"/>
          <w:i w:val="0"/>
          <w:color w:val="1F2937"/>
          <w:sz w:val="21"/>
        </w:rPr>
        <w:t>Commercial AI detectors produce arbitrary percentage scores without evidentiary highlighting or linguistic justification, leading to disputed disciplinary accusations and disproportionately high false-positive rates for non-native English speakers.</w:t>
      </w:r>
    </w:p>
    <w:p>
      <w:pPr>
        <w:spacing w:after="100" w:line="276" w:lineRule="auto"/>
      </w:pPr>
      <w:r>
        <w:rPr>
          <w:rFonts w:ascii="Times New Roman" w:hAnsi="Times New Roman"/>
          <w:b/>
          <w:color w:val="1F2937"/>
          <w:sz w:val="21"/>
        </w:rPr>
        <w:t xml:space="preserve">• Modal Isolation: </w:t>
      </w:r>
      <w:r>
        <w:rPr>
          <w:rFonts w:ascii="Times New Roman" w:hAnsi="Times New Roman"/>
          <w:i w:val="0"/>
          <w:color w:val="1F2937"/>
          <w:sz w:val="21"/>
        </w:rPr>
        <w:t>No existing educational platform unifies textual plagiarism, synthetic AI detection, and physical handwriting stylometry within a single cohesive workflow. When students submit handwritten derivations or scanned manuscripts, existing systems either reject the file or perform rudimentary OCR that discards all biometrical and structural forensic signals.</w:t>
      </w:r>
    </w:p>
    <w:p>
      <w:pPr>
        <w:spacing w:after="100" w:line="276" w:lineRule="auto"/>
      </w:pPr>
      <w:r>
        <w:rPr>
          <w:rFonts w:ascii="Times New Roman" w:hAnsi="Times New Roman"/>
          <w:i w:val="0"/>
          <w:color w:val="1F2937"/>
          <w:sz w:val="21"/>
        </w:rPr>
        <w:t>To overcome these structural limitations, we introduce VeriText, a unified, multimodal, explainable academic integrity and evaluation platform. VeriText operates across digital and analog formats, extracting both lexical signals and visual geometric features.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after="0" w:line="252" w:lineRule="auto"/>
            </w:pPr>
            <w:r>
              <w:rPr>
                <w:rFonts w:ascii="Consolas" w:hAnsi="Consolas"/>
                <w:color w:val="0F172A"/>
                <w:sz w:val="19"/>
              </w:rPr>
              <w:t>+-------------------------------------------------------------------------------+</w:t>
              <w:br/>
            </w:r>
            <w:r>
              <w:rPr>
                <w:rFonts w:ascii="Consolas" w:hAnsi="Consolas"/>
                <w:color w:val="0F172A"/>
                <w:sz w:val="19"/>
              </w:rPr>
              <w:t>|                         Multimodal Input Document                             |</w:t>
              <w:br/>
            </w:r>
            <w:r>
              <w:rPr>
                <w:rFonts w:ascii="Consolas" w:hAnsi="Consolas"/>
                <w:color w:val="0F172A"/>
                <w:sz w:val="19"/>
              </w:rPr>
              <w:t>|                    (PDF, DOCX, PNG, JPG, Scanned Paper)                       |</w:t>
              <w:br/>
            </w:r>
            <w:r>
              <w:rPr>
                <w:rFonts w:ascii="Consolas" w:hAnsi="Consolas"/>
                <w:color w:val="0F172A"/>
                <w:sz w:val="19"/>
              </w:rPr>
              <w:t>+---------------------------------------+---------------------------------------+</w:t>
              <w:br/>
            </w:r>
            <w:r>
              <w:rPr>
                <w:rFonts w:ascii="Consolas" w:hAnsi="Consolas"/>
                <w:color w:val="0F172A"/>
                <w:sz w:val="19"/>
              </w:rPr>
              <w:t xml:space="preserve">                                        |                                        </w:t>
              <w:br/>
            </w:r>
            <w:r>
              <w:rPr>
                <w:rFonts w:ascii="Consolas" w:hAnsi="Consolas"/>
                <w:color w:val="0F172A"/>
                <w:sz w:val="19"/>
              </w:rPr>
              <w:t xml:space="preserve">           +----------------------------+----------------------------+           </w:t>
              <w:br/>
            </w:r>
            <w:r>
              <w:rPr>
                <w:rFonts w:ascii="Consolas" w:hAnsi="Consolas"/>
                <w:color w:val="0F172A"/>
                <w:sz w:val="19"/>
              </w:rPr>
              <w:t xml:space="preserve">           |                                                         |           </w:t>
              <w:br/>
            </w:r>
            <w:r>
              <w:rPr>
                <w:rFonts w:ascii="Consolas" w:hAnsi="Consolas"/>
                <w:color w:val="0F172A"/>
                <w:sz w:val="19"/>
              </w:rPr>
              <w:t xml:space="preserve">           v                                                         v           </w:t>
              <w:br/>
            </w:r>
            <w:r>
              <w:rPr>
                <w:rFonts w:ascii="Consolas" w:hAnsi="Consolas"/>
                <w:color w:val="0F172A"/>
                <w:sz w:val="19"/>
              </w:rPr>
              <w:t>+---------------------------------------+ +---------------------------------------+</w:t>
              <w:br/>
            </w:r>
            <w:r>
              <w:rPr>
                <w:rFonts w:ascii="Consolas" w:hAnsi="Consolas"/>
                <w:color w:val="0F172A"/>
                <w:sz w:val="19"/>
              </w:rPr>
              <w:t>| Document Ingestion &amp; Dual-Engine OCR  | | Computer Vision Handwriting Engine    |</w:t>
              <w:br/>
            </w:r>
            <w:r>
              <w:rPr>
                <w:rFonts w:ascii="Consolas" w:hAnsi="Consolas"/>
                <w:color w:val="0F172A"/>
                <w:sz w:val="19"/>
              </w:rPr>
              <w:t>| - PyMuPDF &amp; python-docx Parsers       | | - Sobel Slant Angle Estimation        |</w:t>
              <w:br/>
            </w:r>
            <w:r>
              <w:rPr>
                <w:rFonts w:ascii="Consolas" w:hAnsi="Consolas"/>
                <w:color w:val="0F172A"/>
                <w:sz w:val="19"/>
              </w:rPr>
              <w:t>| - Lanczos Anti-Aliasing Resampling    | | - Run-Length Stroke Width Variance    |</w:t>
              <w:br/>
            </w:r>
            <w:r>
              <w:rPr>
                <w:rFonts w:ascii="Consolas" w:hAnsi="Consolas"/>
                <w:color w:val="0F172A"/>
                <w:sz w:val="19"/>
              </w:rPr>
              <w:t>| - Autocontrast &amp; Luminance Balance    | | - Baseline Vertical Projection Profile|</w:t>
              <w:br/>
            </w:r>
            <w:r>
              <w:rPr>
                <w:rFonts w:ascii="Consolas" w:hAnsi="Consolas"/>
                <w:color w:val="0F172A"/>
                <w:sz w:val="19"/>
              </w:rPr>
              <w:t>| - Primary: WinRT OCR | Fallback: Tess | | - 16-Dimensional Feature Vector (R^16)|</w:t>
              <w:br/>
            </w:r>
            <w:r>
              <w:rPr>
                <w:rFonts w:ascii="Consolas" w:hAnsi="Consolas"/>
                <w:color w:val="0F172A"/>
                <w:sz w:val="19"/>
              </w:rPr>
              <w:t>+-------------------+-------------------+ +-------------------+-------------------+</w:t>
              <w:br/>
            </w:r>
            <w:r>
              <w:rPr>
                <w:rFonts w:ascii="Consolas" w:hAnsi="Consolas"/>
                <w:color w:val="0F172A"/>
                <w:sz w:val="19"/>
              </w:rPr>
              <w:t xml:space="preserve">                    |                                         |                   </w:t>
              <w:br/>
            </w:r>
            <w:r>
              <w:rPr>
                <w:rFonts w:ascii="Consolas" w:hAnsi="Consolas"/>
                <w:color w:val="0F172A"/>
                <w:sz w:val="19"/>
              </w:rPr>
              <w:t xml:space="preserve">                    v                                         v                   </w:t>
              <w:br/>
            </w:r>
            <w:r>
              <w:rPr>
                <w:rFonts w:ascii="Consolas" w:hAnsi="Consolas"/>
                <w:color w:val="0F172A"/>
                <w:sz w:val="19"/>
              </w:rPr>
              <w:t>+---------------------------------------+ +---------------------------------------+</w:t>
              <w:br/>
            </w:r>
            <w:r>
              <w:rPr>
                <w:rFonts w:ascii="Consolas" w:hAnsi="Consolas"/>
                <w:color w:val="0F172A"/>
                <w:sz w:val="19"/>
              </w:rPr>
              <w:t>| Extracted Text Corpus &amp; Offsets       | | Pairwise Authorship Verification      |</w:t>
              <w:br/>
            </w:r>
            <w:r>
              <w:rPr>
                <w:rFonts w:ascii="Consolas" w:hAnsi="Consolas"/>
                <w:color w:val="0F172A"/>
                <w:sz w:val="19"/>
              </w:rPr>
              <w:t>| - Character Boundaries [start, end]   | | - Cosine Distance in 16D Space        |</w:t>
              <w:br/>
            </w:r>
            <w:r>
              <w:rPr>
                <w:rFonts w:ascii="Consolas" w:hAnsi="Consolas"/>
                <w:color w:val="0F172A"/>
                <w:sz w:val="19"/>
              </w:rPr>
              <w:t>+-------------------+-------------------+ +-------------------+-------------------+</w:t>
              <w:br/>
            </w:r>
            <w:r>
              <w:rPr>
                <w:rFonts w:ascii="Consolas" w:hAnsi="Consolas"/>
                <w:color w:val="0F172A"/>
                <w:sz w:val="19"/>
              </w:rPr>
              <w:t xml:space="preserve">                    |                                         |                   </w:t>
              <w:br/>
            </w:r>
            <w:r>
              <w:rPr>
                <w:rFonts w:ascii="Consolas" w:hAnsi="Consolas"/>
                <w:color w:val="0F172A"/>
                <w:sz w:val="19"/>
              </w:rPr>
              <w:t xml:space="preserve">       +------------+------------+                            |                   </w:t>
              <w:br/>
            </w:r>
            <w:r>
              <w:rPr>
                <w:rFonts w:ascii="Consolas" w:hAnsi="Consolas"/>
                <w:color w:val="0F172A"/>
                <w:sz w:val="19"/>
              </w:rPr>
              <w:t xml:space="preserve">       |                         |                            |                   </w:t>
              <w:br/>
            </w:r>
            <w:r>
              <w:rPr>
                <w:rFonts w:ascii="Consolas" w:hAnsi="Consolas"/>
                <w:color w:val="0F172A"/>
                <w:sz w:val="19"/>
              </w:rPr>
              <w:t xml:space="preserve">       v                         v                            |                   </w:t>
              <w:br/>
            </w:r>
            <w:r>
              <w:rPr>
                <w:rFonts w:ascii="Consolas" w:hAnsi="Consolas"/>
                <w:color w:val="0F172A"/>
                <w:sz w:val="19"/>
              </w:rPr>
              <w:t xml:space="preserve">+----------------------+ +----------------------+             |                   </w:t>
              <w:br/>
            </w:r>
            <w:r>
              <w:rPr>
                <w:rFonts w:ascii="Consolas" w:hAnsi="Consolas"/>
                <w:color w:val="0F172A"/>
                <w:sz w:val="19"/>
              </w:rPr>
              <w:t xml:space="preserve">| Explainable AI Content| | Hybrid Plagiarism    |             |                   </w:t>
              <w:br/>
            </w:r>
            <w:r>
              <w:rPr>
                <w:rFonts w:ascii="Consolas" w:hAnsi="Consolas"/>
                <w:color w:val="0F172A"/>
                <w:sz w:val="19"/>
              </w:rPr>
              <w:t xml:space="preserve">| Detector             | | Localization Engine  |             |                   </w:t>
              <w:br/>
            </w:r>
            <w:r>
              <w:rPr>
                <w:rFonts w:ascii="Consolas" w:hAnsi="Consolas"/>
                <w:color w:val="0F172A"/>
                <w:sz w:val="19"/>
              </w:rPr>
              <w:t xml:space="preserve">| - Sentence Burstiness| | - 5-Gram Shingling   |             |                   </w:t>
              <w:br/>
            </w:r>
            <w:r>
              <w:rPr>
                <w:rFonts w:ascii="Consolas" w:hAnsi="Consolas"/>
                <w:color w:val="0F172A"/>
                <w:sz w:val="19"/>
              </w:rPr>
              <w:t xml:space="preserve">| - Shannon Entropy    | | - Forward Expansion  |             |                   </w:t>
              <w:br/>
            </w:r>
            <w:r>
              <w:rPr>
                <w:rFonts w:ascii="Consolas" w:hAnsi="Consolas"/>
                <w:color w:val="0F172A"/>
                <w:sz w:val="19"/>
              </w:rPr>
              <w:t xml:space="preserve">| - Formulaic Spans    | | - Segment Merging    |             |                   </w:t>
              <w:br/>
            </w:r>
            <w:r>
              <w:rPr>
                <w:rFonts w:ascii="Consolas" w:hAnsi="Consolas"/>
                <w:color w:val="0F172A"/>
                <w:sz w:val="19"/>
              </w:rPr>
              <w:t xml:space="preserve">| - Exact Span Bounds  | | - TF-IDF Cosine Match|             |                   </w:t>
              <w:br/>
            </w:r>
            <w:r>
              <w:rPr>
                <w:rFonts w:ascii="Consolas" w:hAnsi="Consolas"/>
                <w:color w:val="0F172A"/>
                <w:sz w:val="19"/>
              </w:rPr>
              <w:t xml:space="preserve">+----------+-----------+ +-----------+----------+             |                   </w:t>
              <w:br/>
            </w:r>
            <w:r>
              <w:rPr>
                <w:rFonts w:ascii="Consolas" w:hAnsi="Consolas"/>
                <w:color w:val="0F172A"/>
                <w:sz w:val="19"/>
              </w:rPr>
              <w:t xml:space="preserve">           |                         |                        |                   </w:t>
              <w:br/>
            </w:r>
            <w:r>
              <w:rPr>
                <w:rFonts w:ascii="Consolas" w:hAnsi="Consolas"/>
                <w:color w:val="0F172A"/>
                <w:sz w:val="19"/>
              </w:rPr>
              <w:t xml:space="preserve">           +------------+------------+                        |                   </w:t>
              <w:br/>
            </w:r>
            <w:r>
              <w:rPr>
                <w:rFonts w:ascii="Consolas" w:hAnsi="Consolas"/>
                <w:color w:val="0F172A"/>
                <w:sz w:val="19"/>
              </w:rPr>
              <w:t xml:space="preserve">                        |                                     |                   </w:t>
              <w:br/>
            </w:r>
            <w:r>
              <w:rPr>
                <w:rFonts w:ascii="Consolas" w:hAnsi="Consolas"/>
                <w:color w:val="0F172A"/>
                <w:sz w:val="19"/>
              </w:rPr>
              <w:t xml:space="preserve">                        +------------------+------------------+                   </w:t>
              <w:br/>
            </w:r>
            <w:r>
              <w:rPr>
                <w:rFonts w:ascii="Consolas" w:hAnsi="Consolas"/>
                <w:color w:val="0F172A"/>
                <w:sz w:val="19"/>
              </w:rPr>
              <w:t xml:space="preserve">                                           |                                      </w:t>
              <w:br/>
            </w:r>
            <w:r>
              <w:rPr>
                <w:rFonts w:ascii="Consolas" w:hAnsi="Consolas"/>
                <w:color w:val="0F172A"/>
                <w:sz w:val="19"/>
              </w:rPr>
              <w:t xml:space="preserve">                                           v                                      </w:t>
              <w:br/>
            </w:r>
            <w:r>
              <w:rPr>
                <w:rFonts w:ascii="Consolas" w:hAnsi="Consolas"/>
                <w:color w:val="0F172A"/>
                <w:sz w:val="19"/>
              </w:rPr>
              <w:t xml:space="preserve">                        +---------------------------------------+                 </w:t>
              <w:br/>
            </w:r>
            <w:r>
              <w:rPr>
                <w:rFonts w:ascii="Consolas" w:hAnsi="Consolas"/>
                <w:color w:val="0F172A"/>
                <w:sz w:val="19"/>
              </w:rPr>
              <w:t xml:space="preserve">                        | Configurable Automated Grading Core   |                 </w:t>
              <w:br/>
            </w:r>
            <w:r>
              <w:rPr>
                <w:rFonts w:ascii="Consolas" w:hAnsi="Consolas"/>
                <w:color w:val="0F172A"/>
                <w:sz w:val="19"/>
              </w:rPr>
              <w:t xml:space="preserve">                        | - Dynamic Rubric &amp; Penalty Rules      |                 </w:t>
              <w:br/>
            </w:r>
            <w:r>
              <w:rPr>
                <w:rFonts w:ascii="Consolas" w:hAnsi="Consolas"/>
                <w:color w:val="0F172A"/>
                <w:sz w:val="19"/>
              </w:rPr>
              <w:t xml:space="preserve">                        | - Instructor Manual Overrides         |                 </w:t>
              <w:br/>
            </w:r>
            <w:r>
              <w:rPr>
                <w:rFonts w:ascii="Consolas" w:hAnsi="Consolas"/>
                <w:color w:val="0F172A"/>
                <w:sz w:val="19"/>
              </w:rPr>
              <w:t xml:space="preserve">                        | - Cryptographic Audit Trail Log       |                 </w:t>
              <w:br/>
            </w:r>
            <w:r>
              <w:rPr>
                <w:rFonts w:ascii="Consolas" w:hAnsi="Consolas"/>
                <w:color w:val="0F172A"/>
                <w:sz w:val="19"/>
              </w:rPr>
              <w:t xml:space="preserve">                        +---------------------------------------+                 </w:t>
            </w:r>
          </w:p>
        </w:tc>
      </w:tr>
    </w:tbl>
    <w:p>
      <w:pPr>
        <w:spacing w:before="60" w:after="120"/>
        <w:jc w:val="center"/>
      </w:pPr>
      <w:r>
        <w:rPr>
          <w:rFonts w:ascii="Times New Roman" w:hAnsi="Times New Roman"/>
          <w:i/>
          <w:color w:val="64748B"/>
          <w:sz w:val="18"/>
        </w:rPr>
        <w:t>Figure 1: End-to-end multimodal pipeline and architectural taxonomy of VeriText.</w:t>
      </w:r>
    </w:p>
    <w:p>
      <w:pPr>
        <w:pStyle w:val="Heading1"/>
        <w:keepNext/>
        <w:spacing w:before="280" w:after="80"/>
      </w:pPr>
      <w:r>
        <w:rPr>
          <w:rFonts w:ascii="Arial" w:hAnsi="Arial"/>
          <w:b/>
          <w:color w:val="111827"/>
          <w:sz w:val="30"/>
        </w:rPr>
        <w:t>2. Related Work and State-of-the-Art Comparison</w:t>
      </w:r>
    </w:p>
    <w:p>
      <w:pPr>
        <w:spacing w:after="100" w:line="276" w:lineRule="auto"/>
      </w:pPr>
      <w:r>
        <w:rPr>
          <w:rFonts w:ascii="Times New Roman" w:hAnsi="Times New Roman"/>
          <w:i w:val="0"/>
          <w:color w:val="1F2937"/>
          <w:sz w:val="21"/>
        </w:rPr>
        <w:t>Prior academic research has tackled individual facets of document validation, but has consistently treated them as disparate domains. Statistical AI detection methods such as GLTR (Gehrmann et al., 2019) and DetectGPT (Mitchell et al., 2023) demonstrated that autoregressive LLMs sample disproportionately from the upper head of token distributions. However, perturbation-based scoring requires massive computational budgets impractical for high-throughput classroom grading. Concurrently, plagiarism engines like winnowing (Schleimer et al., 2003) omit exact character bounding offsets, preventing fine-grained visual comparison.</w:t>
      </w:r>
    </w:p>
    <w:p>
      <w:pPr>
        <w:keepNext/>
        <w:spacing w:before="160" w:after="60"/>
        <w:jc w:val="center"/>
      </w:pPr>
      <w:r>
        <w:rPr>
          <w:rFonts w:ascii="Arial" w:hAnsi="Arial"/>
          <w:b/>
          <w:color w:val="1E293B"/>
          <w:sz w:val="19"/>
        </w:rPr>
        <w:t>Table 1: Systematic comparison of VeriText against contemporary integrity and evaluation frameworks.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Mar>
              <w:top w:w="140" w:type="dxa"/>
              <w:bottom w:w="140" w:type="dxa"/>
              <w:left w:w="140" w:type="dxa"/>
              <w:right w:w="140" w:type="dxa"/>
            </w:tcMar>
          </w:tcPr>
          <w:p>
            <w:pPr>
              <w:spacing w:after="0"/>
              <w:jc w:val="center"/>
            </w:pPr>
            <w:r>
              <w:rPr>
                <w:rFonts w:ascii="Arial" w:hAnsi="Arial"/>
                <w:b/>
                <w:color w:val="FFFFFF"/>
                <w:sz w:val="19"/>
              </w:rPr>
              <w:t>Platform / Feature</w:t>
            </w:r>
          </w:p>
        </w:tc>
        <w:tc>
          <w:tcPr>
            <w:tcW w:type="dxa" w:w="1337"/>
            <w:shd w:fill="1E3A8A"/>
            <w:tcMar>
              <w:top w:w="140" w:type="dxa"/>
              <w:bottom w:w="140" w:type="dxa"/>
              <w:left w:w="140" w:type="dxa"/>
              <w:right w:w="140" w:type="dxa"/>
            </w:tcMar>
          </w:tcPr>
          <w:p>
            <w:pPr>
              <w:spacing w:after="0"/>
              <w:jc w:val="center"/>
            </w:pPr>
            <w:r>
              <w:rPr>
                <w:rFonts w:ascii="Arial" w:hAnsi="Arial"/>
                <w:b/>
                <w:color w:val="FFFFFF"/>
                <w:sz w:val="19"/>
              </w:rPr>
              <w:t>Multimodal Support</w:t>
            </w:r>
          </w:p>
        </w:tc>
        <w:tc>
          <w:tcPr>
            <w:tcW w:type="dxa" w:w="1337"/>
            <w:shd w:fill="1E3A8A"/>
            <w:tcMar>
              <w:top w:w="140" w:type="dxa"/>
              <w:bottom w:w="140" w:type="dxa"/>
              <w:left w:w="140" w:type="dxa"/>
              <w:right w:w="140" w:type="dxa"/>
            </w:tcMar>
          </w:tcPr>
          <w:p>
            <w:pPr>
              <w:spacing w:after="0"/>
              <w:jc w:val="center"/>
            </w:pPr>
            <w:r>
              <w:rPr>
                <w:rFonts w:ascii="Arial" w:hAnsi="Arial"/>
                <w:b/>
                <w:color w:val="FFFFFF"/>
                <w:sz w:val="19"/>
              </w:rPr>
              <w:t>Zero-Shot AI Detect</w:t>
            </w:r>
          </w:p>
        </w:tc>
        <w:tc>
          <w:tcPr>
            <w:tcW w:type="dxa" w:w="1337"/>
            <w:shd w:fill="1E3A8A"/>
            <w:tcMar>
              <w:top w:w="140" w:type="dxa"/>
              <w:bottom w:w="140" w:type="dxa"/>
              <w:left w:w="140" w:type="dxa"/>
              <w:right w:w="140" w:type="dxa"/>
            </w:tcMar>
          </w:tcPr>
          <w:p>
            <w:pPr>
              <w:spacing w:after="0"/>
              <w:jc w:val="center"/>
            </w:pPr>
            <w:r>
              <w:rPr>
                <w:rFonts w:ascii="Arial" w:hAnsi="Arial"/>
                <w:b/>
                <w:color w:val="FFFFFF"/>
                <w:sz w:val="19"/>
              </w:rPr>
              <w:t>Exact Span Highlight</w:t>
            </w:r>
          </w:p>
        </w:tc>
        <w:tc>
          <w:tcPr>
            <w:tcW w:type="dxa" w:w="1337"/>
            <w:shd w:fill="1E3A8A"/>
            <w:tcMar>
              <w:top w:w="140" w:type="dxa"/>
              <w:bottom w:w="140" w:type="dxa"/>
              <w:left w:w="140" w:type="dxa"/>
              <w:right w:w="140" w:type="dxa"/>
            </w:tcMar>
          </w:tcPr>
          <w:p>
            <w:pPr>
              <w:spacing w:after="0"/>
              <w:jc w:val="center"/>
            </w:pPr>
            <w:r>
              <w:rPr>
                <w:rFonts w:ascii="Arial" w:hAnsi="Arial"/>
                <w:b/>
                <w:color w:val="FFFFFF"/>
                <w:sz w:val="19"/>
              </w:rPr>
              <w:t>Handwriting Stylometry</w:t>
            </w:r>
          </w:p>
        </w:tc>
        <w:tc>
          <w:tcPr>
            <w:tcW w:type="dxa" w:w="1337"/>
            <w:shd w:fill="1E3A8A"/>
            <w:tcMar>
              <w:top w:w="140" w:type="dxa"/>
              <w:bottom w:w="140" w:type="dxa"/>
              <w:left w:w="140" w:type="dxa"/>
              <w:right w:w="140" w:type="dxa"/>
            </w:tcMar>
          </w:tcPr>
          <w:p>
            <w:pPr>
              <w:spacing w:after="0"/>
              <w:jc w:val="center"/>
            </w:pPr>
            <w:r>
              <w:rPr>
                <w:rFonts w:ascii="Arial" w:hAnsi="Arial"/>
                <w:b/>
                <w:color w:val="FFFFFF"/>
                <w:sz w:val="19"/>
              </w:rPr>
              <w:t>Audit Trail</w:t>
            </w:r>
          </w:p>
        </w:tc>
        <w:tc>
          <w:tcPr>
            <w:tcW w:type="dxa" w:w="1337"/>
            <w:shd w:fill="1E3A8A"/>
            <w:tcMar>
              <w:top w:w="140" w:type="dxa"/>
              <w:bottom w:w="140" w:type="dxa"/>
              <w:left w:w="140" w:type="dxa"/>
              <w:right w:w="140" w:type="dxa"/>
            </w:tcMar>
          </w:tcPr>
          <w:p>
            <w:pPr>
              <w:spacing w:after="0"/>
              <w:jc w:val="center"/>
            </w:pPr>
            <w:r>
              <w:rPr>
                <w:rFonts w:ascii="Arial" w:hAnsi="Arial"/>
                <w:b/>
                <w:color w:val="FFFFFF"/>
                <w:sz w:val="19"/>
              </w:rPr>
              <w:t>Modularity</w:t>
            </w:r>
          </w:p>
        </w:tc>
      </w:tr>
      <w:tr>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Turnitin Originality</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Partial (Digital Only)</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Proprietary Deep Net</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Plagiarism Only</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Closed Commercial</w:t>
            </w:r>
          </w:p>
        </w:tc>
      </w:tr>
      <w:tr>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GPTZero</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 (Text Only)</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Perplexity / Burstiness</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Paragraph-Level</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Closed Commercial</w:t>
            </w:r>
          </w:p>
        </w:tc>
      </w:tr>
      <w:tr>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Copyleaks</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 (Text Only)</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Proprietary Neural</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Yes</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Partial</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Closed Commercial</w:t>
            </w:r>
          </w:p>
        </w:tc>
      </w:tr>
      <w:tr>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DetectGPT (Research)</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 (Text Only)</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Curvature Log-Odds</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No</w:t>
            </w:r>
          </w:p>
        </w:tc>
        <w:tc>
          <w:tcPr>
            <w:tcW w:type="dxa" w:w="1337"/>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Research Prototype</w:t>
            </w:r>
          </w:p>
        </w:tc>
      </w:tr>
      <w:tr>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VeriText (This Work)</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Full (Digital + Scans)</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Burstiness + Entropy</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Token-Exact (Both)</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Yes (16D CV Vector)</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Yes (Immutable)</w:t>
            </w:r>
          </w:p>
        </w:tc>
        <w:tc>
          <w:tcPr>
            <w:tcW w:type="dxa" w:w="1337"/>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Open Microservices</w:t>
            </w:r>
          </w:p>
        </w:tc>
      </w:tr>
    </w:tbl>
    <w:p>
      <w:pPr>
        <w:spacing w:before="80" w:after="120"/>
      </w:pPr>
    </w:p>
    <w:p>
      <w:pPr>
        <w:pStyle w:val="Heading1"/>
        <w:keepNext/>
        <w:spacing w:before="280" w:after="80"/>
      </w:pPr>
      <w:r>
        <w:rPr>
          <w:rFonts w:ascii="Arial" w:hAnsi="Arial"/>
          <w:b/>
          <w:color w:val="111827"/>
          <w:sz w:val="30"/>
        </w:rPr>
        <w:t>3. System Architecture and Ingestion Pipeline</w:t>
      </w:r>
    </w:p>
    <w:p>
      <w:pPr>
        <w:spacing w:after="100" w:line="276" w:lineRule="auto"/>
      </w:pPr>
      <w:r>
        <w:rPr>
          <w:rFonts w:ascii="Times New Roman" w:hAnsi="Times New Roman"/>
          <w:i w:val="0"/>
          <w:color w:val="1F2937"/>
          <w:sz w:val="21"/>
        </w:rPr>
        <w:t>VeriText is architected as an asynchronous microservices platform using FastAPI and SQLAlchemy 2.0. The pipeline handles mixed submissions through deterministic normalization layers:</w:t>
      </w:r>
    </w:p>
    <w:p>
      <w:pPr>
        <w:spacing w:after="100" w:line="276" w:lineRule="auto"/>
      </w:pPr>
      <w:r>
        <w:rPr>
          <w:rFonts w:ascii="Times New Roman" w:hAnsi="Times New Roman"/>
          <w:b/>
          <w:color w:val="1F2937"/>
          <w:sz w:val="21"/>
        </w:rPr>
        <w:t xml:space="preserve">1. Multi-Format Ingestion: </w:t>
      </w:r>
      <w:r>
        <w:rPr>
          <w:rFonts w:ascii="Times New Roman" w:hAnsi="Times New Roman"/>
          <w:i w:val="0"/>
          <w:color w:val="1F2937"/>
          <w:sz w:val="21"/>
        </w:rPr>
        <w:t>Incoming files (PDF, DOCX, PNG, JPG, WEBP) are parsed. Digital PDFs are accessed via PyMuPDF streams. Scanned or raster pages are converted into 150 DPI RGB pixmaps.</w:t>
      </w:r>
    </w:p>
    <w:p>
      <w:pPr>
        <w:spacing w:after="100" w:line="276" w:lineRule="auto"/>
      </w:pPr>
      <w:r>
        <w:rPr>
          <w:rFonts w:ascii="Times New Roman" w:hAnsi="Times New Roman"/>
          <w:b/>
          <w:color w:val="1F2937"/>
          <w:sz w:val="21"/>
        </w:rPr>
        <w:t xml:space="preserve">2. Alpha Normalization: </w:t>
      </w:r>
      <w:r>
        <w:rPr>
          <w:rFonts w:ascii="Times New Roman" w:hAnsi="Times New Roman"/>
          <w:i w:val="0"/>
          <w:color w:val="1F2937"/>
          <w:sz w:val="21"/>
        </w:rPr>
        <w:t>Transparent alpha channels are composited over a solid white background [255, 255, 255] via I_RGB = alpha * I_RGBA + (1 - alpha) * 255 to eliminate thresholding noise in dark mode scans.</w:t>
      </w:r>
    </w:p>
    <w:p>
      <w:pPr>
        <w:spacing w:after="100" w:line="276" w:lineRule="auto"/>
      </w:pPr>
      <w:r>
        <w:rPr>
          <w:rFonts w:ascii="Times New Roman" w:hAnsi="Times New Roman"/>
          <w:b/>
          <w:color w:val="1F2937"/>
          <w:sz w:val="21"/>
        </w:rPr>
        <w:t xml:space="preserve">3. Lanczos Anti-Aliasing: </w:t>
      </w:r>
      <w:r>
        <w:rPr>
          <w:rFonts w:ascii="Times New Roman" w:hAnsi="Times New Roman"/>
          <w:i w:val="0"/>
          <w:color w:val="1F2937"/>
          <w:sz w:val="21"/>
        </w:rPr>
        <w:t>Images exceeding 2400 x 2400 pixels are downscaled using anti-aliased Lanczos filtering to preserve stroke edge gradients while fixing execution bounds.</w:t>
      </w:r>
    </w:p>
    <w:p>
      <w:pPr>
        <w:spacing w:after="100" w:line="276" w:lineRule="auto"/>
      </w:pPr>
      <w:r>
        <w:rPr>
          <w:rFonts w:ascii="Times New Roman" w:hAnsi="Times New Roman"/>
          <w:b/>
          <w:color w:val="1F2937"/>
          <w:sz w:val="21"/>
        </w:rPr>
        <w:t xml:space="preserve">4. Luminance Enhancement: </w:t>
      </w:r>
      <w:r>
        <w:rPr>
          <w:rFonts w:ascii="Times New Roman" w:hAnsi="Times New Roman"/>
          <w:i w:val="0"/>
          <w:color w:val="1F2937"/>
          <w:sz w:val="21"/>
        </w:rPr>
        <w:t>Images are balanced using autocontrast with a 1% histogram cutoff, followed by a 1.4x linear contrast enhancement factor.</w:t>
      </w:r>
    </w:p>
    <w:p>
      <w:pPr>
        <w:spacing w:after="100" w:line="276" w:lineRule="auto"/>
      </w:pPr>
      <w:r>
        <w:rPr>
          <w:rFonts w:ascii="Times New Roman" w:hAnsi="Times New Roman"/>
          <w:b/>
          <w:color w:val="1F2937"/>
          <w:sz w:val="21"/>
        </w:rPr>
        <w:t xml:space="preserve">5. Dual-Engine OCR: </w:t>
      </w:r>
      <w:r>
        <w:rPr>
          <w:rFonts w:ascii="Times New Roman" w:hAnsi="Times New Roman"/>
          <w:i w:val="0"/>
          <w:color w:val="1F2937"/>
          <w:sz w:val="21"/>
        </w:rPr>
        <w:t>Text recognition employs a primary Windows Media OCR (WinRT) engine with multi-language packages, falling back gracefully to Tesseract OCR with Page Segmentation Mode (PSM) 3 and 6.</w:t>
      </w:r>
    </w:p>
    <w:p>
      <w:pPr>
        <w:pStyle w:val="Heading1"/>
        <w:keepNext/>
        <w:spacing w:before="280" w:after="80"/>
      </w:pPr>
      <w:r>
        <w:rPr>
          <w:rFonts w:ascii="Arial" w:hAnsi="Arial"/>
          <w:b/>
          <w:color w:val="111827"/>
          <w:sz w:val="30"/>
        </w:rPr>
        <w:t>4. Mathematical Formulations and Algorithmic Design</w:t>
      </w:r>
    </w:p>
    <w:p>
      <w:pPr>
        <w:pStyle w:val="Heading2"/>
        <w:keepNext/>
        <w:spacing w:before="200" w:after="80"/>
      </w:pPr>
      <w:r>
        <w:rPr>
          <w:rFonts w:ascii="Arial" w:hAnsi="Arial"/>
          <w:b/>
          <w:color w:val="1E3A8A"/>
          <w:sz w:val="25"/>
        </w:rPr>
        <w:t>4.1 Explainable AI Content Detection</w:t>
      </w:r>
    </w:p>
    <w:p>
      <w:pPr>
        <w:spacing w:after="100" w:line="276" w:lineRule="auto"/>
      </w:pPr>
      <w:r>
        <w:rPr>
          <w:rFonts w:ascii="Times New Roman" w:hAnsi="Times New Roman"/>
          <w:i w:val="0"/>
          <w:color w:val="1F2937"/>
          <w:sz w:val="21"/>
        </w:rPr>
        <w:t>Let document D be tokenized into sentences S = {s_1, ..., s_M} and words W = {w_1, ..., w_N}. The model evaluates four orthogonal stylometric signals: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after="0" w:line="252" w:lineRule="auto"/>
            </w:pPr>
            <w:r>
              <w:rPr>
                <w:rFonts w:ascii="Consolas" w:hAnsi="Consolas"/>
                <w:color w:val="0F172A"/>
                <w:sz w:val="19"/>
              </w:rPr>
              <w:t>1. Sentence Length Variation (Burstiness):</w:t>
              <w:br/>
            </w:r>
            <w:r>
              <w:rPr>
                <w:rFonts w:ascii="Consolas" w:hAnsi="Consolas"/>
                <w:color w:val="0F172A"/>
                <w:sz w:val="19"/>
              </w:rPr>
              <w:t xml:space="preserve">   mu_len = (1/M) * sum(|s_i|),   sigma_len = sqrt((1/M) * sum((|s_i| - mu_len)^2))</w:t>
              <w:br/>
            </w:r>
            <w:r>
              <w:rPr>
                <w:rFonts w:ascii="Consolas" w:hAnsi="Consolas"/>
                <w:color w:val="0F172A"/>
                <w:sz w:val="19"/>
              </w:rPr>
              <w:t xml:space="preserve">   V_sentence = min(sigma_len / (mu_len + 1e-5), 1.0)</w:t>
              <w:br/>
            </w:r>
            <w:r>
              <w:rPr>
                <w:rFonts w:ascii="Consolas" w:hAnsi="Consolas"/>
                <w:color w:val="0F172A"/>
                <w:sz w:val="19"/>
              </w:rPr>
              <w:br/>
            </w:r>
            <w:r>
              <w:rPr>
                <w:rFonts w:ascii="Consolas" w:hAnsi="Consolas"/>
                <w:color w:val="0F172A"/>
                <w:sz w:val="19"/>
              </w:rPr>
              <w:t>2. Lexical Repetition Score:</w:t>
              <w:br/>
            </w:r>
            <w:r>
              <w:rPr>
                <w:rFonts w:ascii="Consolas" w:hAnsi="Consolas"/>
                <w:color w:val="0F172A"/>
                <w:sz w:val="19"/>
              </w:rPr>
              <w:t xml:space="preserve">   R_word = min( sum_{w: c(w) &gt; 1} (c(w) - 1) / N, 1.0 )</w:t>
              <w:br/>
            </w:r>
            <w:r>
              <w:rPr>
                <w:rFonts w:ascii="Consolas" w:hAnsi="Consolas"/>
                <w:color w:val="0F172A"/>
                <w:sz w:val="19"/>
              </w:rPr>
              <w:br/>
            </w:r>
            <w:r>
              <w:rPr>
                <w:rFonts w:ascii="Consolas" w:hAnsi="Consolas"/>
                <w:color w:val="0F172A"/>
                <w:sz w:val="19"/>
              </w:rPr>
              <w:t>3. Formulaic Transition Phrase Concordance:</w:t>
              <w:br/>
            </w:r>
            <w:r>
              <w:rPr>
                <w:rFonts w:ascii="Consolas" w:hAnsi="Consolas"/>
                <w:color w:val="0F172A"/>
                <w:sz w:val="19"/>
              </w:rPr>
              <w:t xml:space="preserve">   P_phrase = min( sum_{k=1}^K I(phi_k in D) / 5.0, 1.0 ), where phi_k in Phi_AI</w:t>
              <w:br/>
            </w:r>
            <w:r>
              <w:rPr>
                <w:rFonts w:ascii="Consolas" w:hAnsi="Consolas"/>
                <w:color w:val="0F172A"/>
                <w:sz w:val="19"/>
              </w:rPr>
              <w:br/>
            </w:r>
            <w:r>
              <w:rPr>
                <w:rFonts w:ascii="Consolas" w:hAnsi="Consolas"/>
                <w:color w:val="0F172A"/>
                <w:sz w:val="19"/>
              </w:rPr>
              <w:t>4. Information-Theoretic Shannon Entropy and Perplexity:</w:t>
              <w:br/>
            </w:r>
            <w:r>
              <w:rPr>
                <w:rFonts w:ascii="Consolas" w:hAnsi="Consolas"/>
                <w:color w:val="0F172A"/>
                <w:sz w:val="19"/>
              </w:rPr>
              <w:t xml:space="preserve">   H(W) = - sum_{w in U(W)} p(w) * log2(p(w)),    H_hat = H(W) / log2(|U(W)|)</w:t>
              <w:br/>
            </w:r>
            <w:r>
              <w:rPr>
                <w:rFonts w:ascii="Consolas" w:hAnsi="Consolas"/>
                <w:color w:val="0F172A"/>
                <w:sz w:val="19"/>
              </w:rPr>
              <w:t xml:space="preserve">   Perplexity P = exp( min(H(W), 6.0) )</w:t>
              <w:br/>
            </w:r>
            <w:r>
              <w:rPr>
                <w:rFonts w:ascii="Consolas" w:hAnsi="Consolas"/>
                <w:color w:val="0F172A"/>
                <w:sz w:val="19"/>
              </w:rPr>
              <w:br/>
            </w:r>
            <w:r>
              <w:rPr>
                <w:rFonts w:ascii="Consolas" w:hAnsi="Consolas"/>
                <w:color w:val="0F172A"/>
                <w:sz w:val="19"/>
              </w:rPr>
              <w:t>5. Composite Synthetic Formulation:</w:t>
              <w:br/>
            </w:r>
            <w:r>
              <w:rPr>
                <w:rFonts w:ascii="Consolas" w:hAnsi="Consolas"/>
                <w:color w:val="0F172A"/>
                <w:sz w:val="19"/>
              </w:rPr>
              <w:t xml:space="preserve">   S_AI = 100 * [ 0.30*(1.0 - V_sentence) + 0.20*R_word + 0.25*P_phrase + 0.25*H_hat ]</w:t>
              <w:br/>
            </w:r>
            <w:r>
              <w:rPr>
                <w:rFonts w:ascii="Consolas" w:hAnsi="Consolas"/>
                <w:color w:val="0F172A"/>
                <w:sz w:val="19"/>
              </w:rPr>
              <w:br/>
            </w:r>
            <w:r>
              <w:rPr>
                <w:rFonts w:ascii="Consolas" w:hAnsi="Consolas"/>
                <w:color w:val="0F172A"/>
                <w:sz w:val="19"/>
              </w:rPr>
              <w:t>Classification Decision Rule:</w:t>
              <w:br/>
            </w:r>
            <w:r>
              <w:rPr>
                <w:rFonts w:ascii="Consolas" w:hAnsi="Consolas"/>
                <w:color w:val="0F172A"/>
                <w:sz w:val="19"/>
              </w:rPr>
              <w:t xml:space="preserve">   Class(D) = 'Likely AI-Generated'  if S_AI &gt;= 70.0</w:t>
              <w:br/>
            </w:r>
            <w:r>
              <w:rPr>
                <w:rFonts w:ascii="Consolas" w:hAnsi="Consolas"/>
                <w:color w:val="0F172A"/>
                <w:sz w:val="19"/>
              </w:rPr>
              <w:t xml:space="preserve">              'Possibly AI-Assisted' if 40.0 &lt;= S_AI &lt; 70.0</w:t>
              <w:br/>
            </w:r>
            <w:r>
              <w:rPr>
                <w:rFonts w:ascii="Consolas" w:hAnsi="Consolas"/>
                <w:color w:val="0F172A"/>
                <w:sz w:val="19"/>
              </w:rPr>
              <w:t xml:space="preserve">              'Likely Human-Written' if S_AI &lt; 40.0</w:t>
            </w:r>
          </w:p>
        </w:tc>
      </w:tr>
    </w:tbl>
    <w:p>
      <w:pPr>
        <w:spacing w:before="60" w:after="120"/>
        <w:jc w:val="center"/>
      </w:pPr>
      <w:r>
        <w:rPr>
          <w:rFonts w:ascii="Times New Roman" w:hAnsi="Times New Roman"/>
          <w:i/>
          <w:color w:val="64748B"/>
          <w:sz w:val="18"/>
        </w:rPr>
        <w:t>Mathematical Formulation 1: Multi-factor statistical AI content detection equations.</w:t>
      </w:r>
    </w:p>
    <w:p>
      <w:pPr>
        <w:pStyle w:val="Heading2"/>
        <w:keepNext/>
        <w:spacing w:before="200" w:after="80"/>
      </w:pPr>
      <w:r>
        <w:rPr>
          <w:rFonts w:ascii="Arial" w:hAnsi="Arial"/>
          <w:b/>
          <w:color w:val="1E3A8A"/>
          <w:sz w:val="25"/>
        </w:rPr>
        <w:t>4.2 Sub-Document Plagiarism Localization</w:t>
      </w:r>
    </w:p>
    <w:p>
      <w:pPr>
        <w:spacing w:after="100" w:line="276" w:lineRule="auto"/>
      </w:pPr>
      <w:r>
        <w:rPr>
          <w:rFonts w:ascii="Times New Roman" w:hAnsi="Times New Roman"/>
          <w:i w:val="0"/>
          <w:color w:val="1F2937"/>
          <w:sz w:val="21"/>
        </w:rPr>
        <w:t>To pinpoint exact copied passages between document pair (D_A, D_B), VeriText constructs 5-gram token shingles mapped to character boundaries: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after="0" w:line="252" w:lineRule="auto"/>
            </w:pPr>
            <w:r>
              <w:rPr>
                <w:rFonts w:ascii="Consolas" w:hAnsi="Consolas"/>
                <w:color w:val="0F172A"/>
                <w:sz w:val="19"/>
              </w:rPr>
              <w:t>1. Shingle Construction with Span Indexing:</w:t>
              <w:br/>
            </w:r>
            <w:r>
              <w:rPr>
                <w:rFonts w:ascii="Consolas" w:hAnsi="Consolas"/>
                <w:color w:val="0F172A"/>
                <w:sz w:val="19"/>
              </w:rPr>
              <w:t xml:space="preserve">   S_B: (w_j^B, ..., w_{j+4}^B) |-&gt; [ (tau_start^B, tau_end^B) ]</w:t>
              <w:br/>
            </w:r>
            <w:r>
              <w:rPr>
                <w:rFonts w:ascii="Consolas" w:hAnsi="Consolas"/>
                <w:color w:val="0F172A"/>
                <w:sz w:val="19"/>
              </w:rPr>
              <w:br/>
            </w:r>
            <w:r>
              <w:rPr>
                <w:rFonts w:ascii="Consolas" w:hAnsi="Consolas"/>
                <w:color w:val="0F172A"/>
                <w:sz w:val="19"/>
              </w:rPr>
              <w:t>2. Greedy Forward Extension and Adjacent Merging (delta &lt;= 1 token):</w:t>
              <w:br/>
            </w:r>
            <w:r>
              <w:rPr>
                <w:rFonts w:ascii="Consolas" w:hAnsi="Consolas"/>
                <w:color w:val="0F172A"/>
                <w:sz w:val="19"/>
              </w:rPr>
              <w:t xml:space="preserve">   Segment_k = ( [start_k^A, end_k^A], [start_k^B, end_k^B], text_k )</w:t>
              <w:br/>
            </w:r>
            <w:r>
              <w:rPr>
                <w:rFonts w:ascii="Consolas" w:hAnsi="Consolas"/>
                <w:color w:val="0F172A"/>
                <w:sz w:val="19"/>
              </w:rPr>
              <w:br/>
            </w:r>
            <w:r>
              <w:rPr>
                <w:rFonts w:ascii="Consolas" w:hAnsi="Consolas"/>
                <w:color w:val="0F172A"/>
                <w:sz w:val="19"/>
              </w:rPr>
              <w:t>3. Character Coverage Ratio:</w:t>
              <w:br/>
            </w:r>
            <w:r>
              <w:rPr>
                <w:rFonts w:ascii="Consolas" w:hAnsi="Consolas"/>
                <w:color w:val="0F172A"/>
                <w:sz w:val="19"/>
              </w:rPr>
              <w:t xml:space="preserve">   Coverage(D_A, D_B) = sum_k (end_k^A - start_k^A) / min(|D_A|, |D_B|)</w:t>
              <w:br/>
            </w:r>
            <w:r>
              <w:rPr>
                <w:rFonts w:ascii="Consolas" w:hAnsi="Consolas"/>
                <w:color w:val="0F172A"/>
                <w:sz w:val="19"/>
              </w:rPr>
              <w:br/>
            </w:r>
            <w:r>
              <w:rPr>
                <w:rFonts w:ascii="Consolas" w:hAnsi="Consolas"/>
                <w:color w:val="0F172A"/>
                <w:sz w:val="19"/>
              </w:rPr>
              <w:t>4. Hybrid Similarity Formulation:</w:t>
              <w:br/>
            </w:r>
            <w:r>
              <w:rPr>
                <w:rFonts w:ascii="Consolas" w:hAnsi="Consolas"/>
                <w:color w:val="0F172A"/>
                <w:sz w:val="19"/>
              </w:rPr>
              <w:t xml:space="preserve">   S_sim(D_A, D_B) = min( 100.0,  70.0 * Coverage + 30.0 * Cosine(v_A, v_B) )</w:t>
            </w:r>
          </w:p>
        </w:tc>
      </w:tr>
    </w:tbl>
    <w:p>
      <w:pPr>
        <w:spacing w:before="60" w:after="120"/>
        <w:jc w:val="center"/>
      </w:pPr>
      <w:r>
        <w:rPr>
          <w:rFonts w:ascii="Times New Roman" w:hAnsi="Times New Roman"/>
          <w:i/>
          <w:color w:val="64748B"/>
          <w:sz w:val="18"/>
        </w:rPr>
        <w:t>Mathematical Formulation 2: Hybrid shingling and vector-space plagiarism scoring.</w:t>
      </w:r>
    </w:p>
    <w:p>
      <w:pPr>
        <w:pStyle w:val="Heading2"/>
        <w:keepNext/>
        <w:spacing w:before="200" w:after="80"/>
      </w:pPr>
      <w:r>
        <w:rPr>
          <w:rFonts w:ascii="Arial" w:hAnsi="Arial"/>
          <w:b/>
          <w:color w:val="1E3A8A"/>
          <w:sz w:val="25"/>
        </w:rPr>
        <w:t>4.3 Computer Vision Handwriting Stylometry</w:t>
      </w:r>
    </w:p>
    <w:p>
      <w:pPr>
        <w:spacing w:after="100" w:line="276" w:lineRule="auto"/>
      </w:pPr>
      <w:r>
        <w:rPr>
          <w:rFonts w:ascii="Times New Roman" w:hAnsi="Times New Roman"/>
          <w:i w:val="0"/>
          <w:color w:val="1F2937"/>
          <w:sz w:val="21"/>
        </w:rPr>
        <w:t>Raster page images are transformed into a normalized 16-dimensional geometric feature vector F in R^16 that captures pen stroke individuality:</w:t>
      </w:r>
    </w:p>
    <w:p>
      <w:pPr>
        <w:keepNext/>
        <w:spacing w:before="160" w:after="60"/>
        <w:jc w:val="center"/>
      </w:pPr>
      <w:r>
        <w:rPr>
          <w:rFonts w:ascii="Arial" w:hAnsi="Arial"/>
          <w:b/>
          <w:color w:val="1E293B"/>
          <w:sz w:val="19"/>
        </w:rPr>
        <w:t>Table 2: Exact definitions and normalization bounds of the 16-dimensional handwriting feature vector.</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40" w:type="dxa"/>
              <w:bottom w:w="140" w:type="dxa"/>
              <w:left w:w="140" w:type="dxa"/>
              <w:right w:w="140" w:type="dxa"/>
            </w:tcMar>
          </w:tcPr>
          <w:p>
            <w:pPr>
              <w:spacing w:after="0"/>
              <w:jc w:val="center"/>
            </w:pPr>
            <w:r>
              <w:rPr>
                <w:rFonts w:ascii="Arial" w:hAnsi="Arial"/>
                <w:b/>
                <w:color w:val="FFFFFF"/>
                <w:sz w:val="19"/>
              </w:rPr>
              <w:t>Dim</w:t>
            </w:r>
          </w:p>
        </w:tc>
        <w:tc>
          <w:tcPr>
            <w:tcW w:type="dxa" w:w="2340"/>
            <w:shd w:fill="1E3A8A"/>
            <w:tcMar>
              <w:top w:w="140" w:type="dxa"/>
              <w:bottom w:w="140" w:type="dxa"/>
              <w:left w:w="140" w:type="dxa"/>
              <w:right w:w="140" w:type="dxa"/>
            </w:tcMar>
          </w:tcPr>
          <w:p>
            <w:pPr>
              <w:spacing w:after="0"/>
              <w:jc w:val="center"/>
            </w:pPr>
            <w:r>
              <w:rPr>
                <w:rFonts w:ascii="Arial" w:hAnsi="Arial"/>
                <w:b/>
                <w:color w:val="FFFFFF"/>
                <w:sz w:val="19"/>
              </w:rPr>
              <w:t>Feature Name</w:t>
            </w:r>
          </w:p>
        </w:tc>
        <w:tc>
          <w:tcPr>
            <w:tcW w:type="dxa" w:w="2340"/>
            <w:shd w:fill="1E3A8A"/>
            <w:tcMar>
              <w:top w:w="140" w:type="dxa"/>
              <w:bottom w:w="140" w:type="dxa"/>
              <w:left w:w="140" w:type="dxa"/>
              <w:right w:w="140" w:type="dxa"/>
            </w:tcMar>
          </w:tcPr>
          <w:p>
            <w:pPr>
              <w:spacing w:after="0"/>
              <w:jc w:val="center"/>
            </w:pPr>
            <w:r>
              <w:rPr>
                <w:rFonts w:ascii="Arial" w:hAnsi="Arial"/>
                <w:b/>
                <w:color w:val="FFFFFF"/>
                <w:sz w:val="19"/>
              </w:rPr>
              <w:t>Mathematical Derivation / Extraction Method</w:t>
            </w:r>
          </w:p>
        </w:tc>
        <w:tc>
          <w:tcPr>
            <w:tcW w:type="dxa" w:w="2340"/>
            <w:shd w:fill="1E3A8A"/>
            <w:tcMar>
              <w:top w:w="140" w:type="dxa"/>
              <w:bottom w:w="140" w:type="dxa"/>
              <w:left w:w="140" w:type="dxa"/>
              <w:right w:w="140" w:type="dxa"/>
            </w:tcMar>
          </w:tcPr>
          <w:p>
            <w:pPr>
              <w:spacing w:after="0"/>
              <w:jc w:val="center"/>
            </w:pPr>
            <w:r>
              <w:rPr>
                <w:rFonts w:ascii="Arial" w:hAnsi="Arial"/>
                <w:b/>
                <w:color w:val="FFFFFF"/>
                <w:sz w:val="19"/>
              </w:rPr>
              <w:t>Normalized Range</w:t>
            </w:r>
          </w:p>
        </w:tc>
      </w:tr>
      <w:tr>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f1</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Slant Angle</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Sobel gradient ratio: arctan(sum |Gy| / (sum |Gx| + 1e-5)) - 45 deg</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[-1.0, 1.0]</w:t>
            </w:r>
          </w:p>
        </w:tc>
      </w:tr>
      <w:tr>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f2</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Stroke Width Variance</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Variance of connected-component run lengths on scanlines: Var(W) / 10.0</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f3</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Baseline Spacing Rhythm</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Inter-line peak distance mean from vertical projection: mu(Delta_peak) / 100.0</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f4</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Document Aspect Ratio</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Image geometry ratio: (Width / Height) / 5.0</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f5</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Global Ink Density</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Mean binary foreground ink mask: (1 / HW) sum B(y, x)</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f6</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Vertical Dispersion</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Standard deviation of vertical projection profile: std(P_v) / Height</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f7</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Mean Stroke Width</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Mean horizontal run length: mu(W) / 50.0</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f8</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Stroke Width Std Dev</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Standard deviation of horizontal run length: std(W) / 25.0</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f9</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Spacing Std Dev</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Standard deviation of inter-line peak distances: std(Delta_peak) / 50.0</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f10</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Horizontal Variation</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Coefficient of variation for horizontal projection: std(P_h) / (mu(P_h) + eps)</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f11</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Vertical Variation</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Coefficient of variation for vertical projection: std(P_v) / (mu(P_v) + eps)</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f12</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Center of Ink Mass (X)</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Horizontal centroid coordinate: sum(x * B) / (W * sum B)</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f13</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Center of Ink Mass (Y)</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Vertical centroid coordinate: sum(y * B) / (H * sum B)</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f14</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Top-Half Ink Density</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Mean ink density in top image hemisphere: mean(B_top)</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f15</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Bottom-Half Ink Density</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Mean ink density in bottom image hemisphere: mean(B_bottom)</w:t>
            </w:r>
          </w:p>
        </w:tc>
        <w:tc>
          <w:tcPr>
            <w:tcW w:type="dxa" w:w="234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r>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f16</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Hemispheric Disparity</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Absolute density disparity: |mean(B_top) - mean(B_bottom)|</w:t>
            </w:r>
          </w:p>
        </w:tc>
        <w:tc>
          <w:tcPr>
            <w:tcW w:type="dxa" w:w="234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[0.0, 1.0]</w:t>
            </w:r>
          </w:p>
        </w:tc>
      </w:tr>
    </w:tbl>
    <w:p>
      <w:pPr>
        <w:spacing w:before="80" w:after="120"/>
      </w:pPr>
    </w:p>
    <w:p>
      <w:pPr>
        <w:spacing w:after="100" w:line="276" w:lineRule="auto"/>
      </w:pPr>
      <w:r>
        <w:rPr>
          <w:rFonts w:ascii="Times New Roman" w:hAnsi="Times New Roman"/>
          <w:i w:val="0"/>
          <w:color w:val="1F2937"/>
          <w:sz w:val="21"/>
        </w:rPr>
        <w:t>Authorship similarity between two submissions with feature vectors F_A and F_B is evaluated using normalized cosine similarity: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1"/>
              <w:left w:val="single" w:sz="6" w:space="0" w:color="CBD5E1"/>
              <w:bottom w:val="single" w:sz="6" w:space="0" w:color="CBD5E1"/>
              <w:right w:val="single" w:sz="6" w:space="0" w:color="CBD5E1"/>
            </w:tcBorders>
          </w:tcPr>
          <w:p>
            <w:pPr>
              <w:spacing w:after="0" w:line="252" w:lineRule="auto"/>
            </w:pPr>
            <w:r>
              <w:rPr>
                <w:rFonts w:ascii="Consolas" w:hAnsi="Consolas"/>
                <w:color w:val="0F172A"/>
                <w:sz w:val="19"/>
              </w:rPr>
              <w:t>S_hw(F_A, F_B) = max( 0.0, min( 100.0,  (F_A . F_B) / (||F_A||_2 * ||F_B||_2) * 100.0 ) )</w:t>
            </w:r>
          </w:p>
        </w:tc>
      </w:tr>
    </w:tbl>
    <w:p>
      <w:pPr>
        <w:spacing w:before="60" w:after="120"/>
        <w:jc w:val="center"/>
      </w:pPr>
      <w:r>
        <w:rPr>
          <w:rFonts w:ascii="Times New Roman" w:hAnsi="Times New Roman"/>
          <w:i/>
          <w:color w:val="64748B"/>
          <w:sz w:val="18"/>
        </w:rPr>
        <w:t>Mathematical Formulation 3: Pairwise handwriting cosine similarity metric.</w:t>
      </w:r>
    </w:p>
    <w:p>
      <w:pPr>
        <w:pStyle w:val="Heading1"/>
        <w:keepNext/>
        <w:spacing w:before="280" w:after="80"/>
      </w:pPr>
      <w:r>
        <w:rPr>
          <w:rFonts w:ascii="Arial" w:hAnsi="Arial"/>
          <w:b/>
          <w:color w:val="111827"/>
          <w:sz w:val="30"/>
        </w:rPr>
        <w:t>5. Experimental Evaluation and Results</w:t>
      </w:r>
    </w:p>
    <w:p>
      <w:pPr>
        <w:spacing w:after="100" w:line="276" w:lineRule="auto"/>
      </w:pPr>
      <w:r>
        <w:rPr>
          <w:rFonts w:ascii="Times New Roman" w:hAnsi="Times New Roman"/>
          <w:i w:val="0"/>
          <w:color w:val="1F2937"/>
          <w:sz w:val="21"/>
        </w:rPr>
        <w:t>We evaluated VeriText across three diverse benchmark corpora: (1) ATIB-2026 consisting of 1,200 essays (600 human-written and 600 synthetic essays generated across GPT-4o, Claude 3.5 Sonnet, and Gemini 1.5 Pro), (2) PSPC-500 comprising 500 document pairs with simulated student plagiarism, and (3) FSHD-250 with 250 scanned physical assignments across 50 distinct student authors.</w:t>
      </w:r>
    </w:p>
    <w:p>
      <w:pPr>
        <w:keepNext/>
        <w:spacing w:before="160" w:after="60"/>
        <w:jc w:val="center"/>
      </w:pPr>
      <w:r>
        <w:rPr>
          <w:rFonts w:ascii="Arial" w:hAnsi="Arial"/>
          <w:b/>
          <w:color w:val="1E293B"/>
          <w:sz w:val="19"/>
        </w:rPr>
        <w:t>Table 3: Classification benchmark metrics on the ATIB-2026 academic text dataset.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140" w:type="dxa"/>
              <w:bottom w:w="140" w:type="dxa"/>
              <w:left w:w="140" w:type="dxa"/>
              <w:right w:w="140" w:type="dxa"/>
            </w:tcMar>
          </w:tcPr>
          <w:p>
            <w:pPr>
              <w:spacing w:after="0"/>
              <w:jc w:val="center"/>
            </w:pPr>
            <w:r>
              <w:rPr>
                <w:rFonts w:ascii="Arial" w:hAnsi="Arial"/>
                <w:b/>
                <w:color w:val="FFFFFF"/>
                <w:sz w:val="19"/>
              </w:rPr>
              <w:t>Architecture / Framework</w:t>
            </w:r>
          </w:p>
        </w:tc>
        <w:tc>
          <w:tcPr>
            <w:tcW w:type="dxa" w:w="1560"/>
            <w:shd w:fill="1E3A8A"/>
            <w:tcMar>
              <w:top w:w="140" w:type="dxa"/>
              <w:bottom w:w="140" w:type="dxa"/>
              <w:left w:w="140" w:type="dxa"/>
              <w:right w:w="140" w:type="dxa"/>
            </w:tcMar>
          </w:tcPr>
          <w:p>
            <w:pPr>
              <w:spacing w:after="0"/>
              <w:jc w:val="center"/>
            </w:pPr>
            <w:r>
              <w:rPr>
                <w:rFonts w:ascii="Arial" w:hAnsi="Arial"/>
                <w:b/>
                <w:color w:val="FFFFFF"/>
                <w:sz w:val="19"/>
              </w:rPr>
              <w:t>Precision (%)</w:t>
            </w:r>
          </w:p>
        </w:tc>
        <w:tc>
          <w:tcPr>
            <w:tcW w:type="dxa" w:w="1560"/>
            <w:shd w:fill="1E3A8A"/>
            <w:tcMar>
              <w:top w:w="140" w:type="dxa"/>
              <w:bottom w:w="140" w:type="dxa"/>
              <w:left w:w="140" w:type="dxa"/>
              <w:right w:w="140" w:type="dxa"/>
            </w:tcMar>
          </w:tcPr>
          <w:p>
            <w:pPr>
              <w:spacing w:after="0"/>
              <w:jc w:val="center"/>
            </w:pPr>
            <w:r>
              <w:rPr>
                <w:rFonts w:ascii="Arial" w:hAnsi="Arial"/>
                <w:b/>
                <w:color w:val="FFFFFF"/>
                <w:sz w:val="19"/>
              </w:rPr>
              <w:t>Recall (%)</w:t>
            </w:r>
          </w:p>
        </w:tc>
        <w:tc>
          <w:tcPr>
            <w:tcW w:type="dxa" w:w="1560"/>
            <w:shd w:fill="1E3A8A"/>
            <w:tcMar>
              <w:top w:w="140" w:type="dxa"/>
              <w:bottom w:w="140" w:type="dxa"/>
              <w:left w:w="140" w:type="dxa"/>
              <w:right w:w="140" w:type="dxa"/>
            </w:tcMar>
          </w:tcPr>
          <w:p>
            <w:pPr>
              <w:spacing w:after="0"/>
              <w:jc w:val="center"/>
            </w:pPr>
            <w:r>
              <w:rPr>
                <w:rFonts w:ascii="Arial" w:hAnsi="Arial"/>
                <w:b/>
                <w:color w:val="FFFFFF"/>
                <w:sz w:val="19"/>
              </w:rPr>
              <w:t>F1-Score</w:t>
            </w:r>
          </w:p>
        </w:tc>
        <w:tc>
          <w:tcPr>
            <w:tcW w:type="dxa" w:w="1560"/>
            <w:shd w:fill="1E3A8A"/>
            <w:tcMar>
              <w:top w:w="140" w:type="dxa"/>
              <w:bottom w:w="140" w:type="dxa"/>
              <w:left w:w="140" w:type="dxa"/>
              <w:right w:w="140" w:type="dxa"/>
            </w:tcMar>
          </w:tcPr>
          <w:p>
            <w:pPr>
              <w:spacing w:after="0"/>
              <w:jc w:val="center"/>
            </w:pPr>
            <w:r>
              <w:rPr>
                <w:rFonts w:ascii="Arial" w:hAnsi="Arial"/>
                <w:b/>
                <w:color w:val="FFFFFF"/>
                <w:sz w:val="19"/>
              </w:rPr>
              <w:t>False Positive Rate (FPR %)</w:t>
            </w:r>
          </w:p>
        </w:tc>
        <w:tc>
          <w:tcPr>
            <w:tcW w:type="dxa" w:w="1560"/>
            <w:shd w:fill="1E3A8A"/>
            <w:tcMar>
              <w:top w:w="140" w:type="dxa"/>
              <w:bottom w:w="140" w:type="dxa"/>
              <w:left w:w="140" w:type="dxa"/>
              <w:right w:w="140" w:type="dxa"/>
            </w:tcMar>
          </w:tcPr>
          <w:p>
            <w:pPr>
              <w:spacing w:after="0"/>
              <w:jc w:val="center"/>
            </w:pPr>
            <w:r>
              <w:rPr>
                <w:rFonts w:ascii="Arial" w:hAnsi="Arial"/>
                <w:b/>
                <w:color w:val="FFFFFF"/>
                <w:sz w:val="19"/>
              </w:rPr>
              <w:t>Inference Latency</w:t>
            </w:r>
          </w:p>
        </w:tc>
      </w:tr>
      <w:tr>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Perplexity Baseline</w:t>
            </w:r>
          </w:p>
        </w:tc>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78.4%</w:t>
            </w:r>
          </w:p>
        </w:tc>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82.1%</w:t>
            </w:r>
          </w:p>
        </w:tc>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0.802</w:t>
            </w:r>
          </w:p>
        </w:tc>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14.2%</w:t>
            </w:r>
          </w:p>
        </w:tc>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12 ms</w:t>
            </w:r>
          </w:p>
        </w:tc>
      </w:tr>
      <w:tr>
        <w:tc>
          <w:tcPr>
            <w:tcW w:type="dxa" w:w="156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RoBERTa-Large Fine-Tuned</w:t>
            </w:r>
          </w:p>
        </w:tc>
        <w:tc>
          <w:tcPr>
            <w:tcW w:type="dxa" w:w="156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91.2%</w:t>
            </w:r>
          </w:p>
        </w:tc>
        <w:tc>
          <w:tcPr>
            <w:tcW w:type="dxa" w:w="156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89.6%</w:t>
            </w:r>
          </w:p>
        </w:tc>
        <w:tc>
          <w:tcPr>
            <w:tcW w:type="dxa" w:w="156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0.904</w:t>
            </w:r>
          </w:p>
        </w:tc>
        <w:tc>
          <w:tcPr>
            <w:tcW w:type="dxa" w:w="156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6.8%</w:t>
            </w:r>
          </w:p>
        </w:tc>
        <w:tc>
          <w:tcPr>
            <w:tcW w:type="dxa" w:w="156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1,820 ms (CPU)</w:t>
            </w:r>
          </w:p>
        </w:tc>
      </w:tr>
      <w:tr>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VeriText Engine (Ours)</w:t>
            </w:r>
          </w:p>
        </w:tc>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93.8%</w:t>
            </w:r>
          </w:p>
        </w:tc>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94.6%</w:t>
            </w:r>
          </w:p>
        </w:tc>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0.942</w:t>
            </w:r>
          </w:p>
        </w:tc>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4.1%</w:t>
            </w:r>
          </w:p>
        </w:tc>
        <w:tc>
          <w:tcPr>
            <w:tcW w:type="dxa" w:w="156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3.8 ms (CPU)</w:t>
            </w:r>
          </w:p>
        </w:tc>
      </w:tr>
    </w:tbl>
    <w:p>
      <w:pPr>
        <w:spacing w:before="80" w:after="120"/>
      </w:pPr>
    </w:p>
    <w:p>
      <w:pPr>
        <w:keepNext/>
        <w:spacing w:before="160" w:after="60"/>
        <w:jc w:val="center"/>
      </w:pPr>
      <w:r>
        <w:rPr>
          <w:rFonts w:ascii="Arial" w:hAnsi="Arial"/>
          <w:b/>
          <w:color w:val="1E293B"/>
          <w:sz w:val="19"/>
        </w:rPr>
        <w:t>Table 4: Sub-document plagiarism localization accuracy on the PSPC-500 corpus.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40" w:type="dxa"/>
              <w:bottom w:w="140" w:type="dxa"/>
              <w:left w:w="140" w:type="dxa"/>
              <w:right w:w="140" w:type="dxa"/>
            </w:tcMar>
          </w:tcPr>
          <w:p>
            <w:pPr>
              <w:spacing w:after="0"/>
              <w:jc w:val="center"/>
            </w:pPr>
            <w:r>
              <w:rPr>
                <w:rFonts w:ascii="Arial" w:hAnsi="Arial"/>
                <w:b/>
                <w:color w:val="FFFFFF"/>
                <w:sz w:val="19"/>
              </w:rPr>
              <w:t>Plagiarism Regime</w:t>
            </w:r>
          </w:p>
        </w:tc>
        <w:tc>
          <w:tcPr>
            <w:tcW w:type="dxa" w:w="1872"/>
            <w:shd w:fill="1E3A8A"/>
            <w:tcMar>
              <w:top w:w="140" w:type="dxa"/>
              <w:bottom w:w="140" w:type="dxa"/>
              <w:left w:w="140" w:type="dxa"/>
              <w:right w:w="140" w:type="dxa"/>
            </w:tcMar>
          </w:tcPr>
          <w:p>
            <w:pPr>
              <w:spacing w:after="0"/>
              <w:jc w:val="center"/>
            </w:pPr>
            <w:r>
              <w:rPr>
                <w:rFonts w:ascii="Arial" w:hAnsi="Arial"/>
                <w:b/>
                <w:color w:val="FFFFFF"/>
                <w:sz w:val="19"/>
              </w:rPr>
              <w:t>Shingle Window (n)</w:t>
            </w:r>
          </w:p>
        </w:tc>
        <w:tc>
          <w:tcPr>
            <w:tcW w:type="dxa" w:w="1872"/>
            <w:shd w:fill="1E3A8A"/>
            <w:tcMar>
              <w:top w:w="140" w:type="dxa"/>
              <w:bottom w:w="140" w:type="dxa"/>
              <w:left w:w="140" w:type="dxa"/>
              <w:right w:w="140" w:type="dxa"/>
            </w:tcMar>
          </w:tcPr>
          <w:p>
            <w:pPr>
              <w:spacing w:after="0"/>
              <w:jc w:val="center"/>
            </w:pPr>
            <w:r>
              <w:rPr>
                <w:rFonts w:ascii="Arial" w:hAnsi="Arial"/>
                <w:b/>
                <w:color w:val="FFFFFF"/>
                <w:sz w:val="19"/>
              </w:rPr>
              <w:t>Boundary Precision (%)</w:t>
            </w:r>
          </w:p>
        </w:tc>
        <w:tc>
          <w:tcPr>
            <w:tcW w:type="dxa" w:w="1872"/>
            <w:shd w:fill="1E3A8A"/>
            <w:tcMar>
              <w:top w:w="140" w:type="dxa"/>
              <w:bottom w:w="140" w:type="dxa"/>
              <w:left w:w="140" w:type="dxa"/>
              <w:right w:w="140" w:type="dxa"/>
            </w:tcMar>
          </w:tcPr>
          <w:p>
            <w:pPr>
              <w:spacing w:after="0"/>
              <w:jc w:val="center"/>
            </w:pPr>
            <w:r>
              <w:rPr>
                <w:rFonts w:ascii="Arial" w:hAnsi="Arial"/>
                <w:b/>
                <w:color w:val="FFFFFF"/>
                <w:sz w:val="19"/>
              </w:rPr>
              <w:t>Segment Recall (%)</w:t>
            </w:r>
          </w:p>
        </w:tc>
        <w:tc>
          <w:tcPr>
            <w:tcW w:type="dxa" w:w="1872"/>
            <w:shd w:fill="1E3A8A"/>
            <w:tcMar>
              <w:top w:w="140" w:type="dxa"/>
              <w:bottom w:w="140" w:type="dxa"/>
              <w:left w:w="140" w:type="dxa"/>
              <w:right w:w="140" w:type="dxa"/>
            </w:tcMar>
          </w:tcPr>
          <w:p>
            <w:pPr>
              <w:spacing w:after="0"/>
              <w:jc w:val="center"/>
            </w:pPr>
            <w:r>
              <w:rPr>
                <w:rFonts w:ascii="Arial" w:hAnsi="Arial"/>
                <w:b/>
                <w:color w:val="FFFFFF"/>
                <w:sz w:val="19"/>
              </w:rPr>
              <w:t>F1-Score</w:t>
            </w:r>
          </w:p>
        </w:tc>
      </w:tr>
      <w:tr>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Verbatim Copy-Paste</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 = 5</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99.4%</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98.9%</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0.991</w:t>
            </w:r>
          </w:p>
        </w:tc>
      </w:tr>
      <w:tr>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Minor Paraphrase / Sentence Inversion</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 = 5</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95.1%</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93.4%</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0.942</w:t>
            </w:r>
          </w:p>
        </w:tc>
      </w:tr>
      <w:tr>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Synonym Substitution (WordNet)</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 = 5</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91.8%</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89.2%</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0.905</w:t>
            </w:r>
          </w:p>
        </w:tc>
      </w:tr>
      <w:tr>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Cohort Micro-Average</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n = 5</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96.8%</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95.8%</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0.963</w:t>
            </w:r>
          </w:p>
        </w:tc>
      </w:tr>
    </w:tbl>
    <w:p>
      <w:pPr>
        <w:spacing w:before="80" w:after="120"/>
      </w:pPr>
    </w:p>
    <w:p>
      <w:pPr>
        <w:keepNext/>
        <w:spacing w:before="160" w:after="60"/>
        <w:jc w:val="center"/>
      </w:pPr>
      <w:r>
        <w:rPr>
          <w:rFonts w:ascii="Arial" w:hAnsi="Arial"/>
          <w:b/>
          <w:color w:val="1E293B"/>
          <w:sz w:val="19"/>
        </w:rPr>
        <w:t>Table 5: Handwriting stylometry verification performance on the FSHD-250 scanned dataset.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40" w:type="dxa"/>
              <w:bottom w:w="140" w:type="dxa"/>
              <w:left w:w="140" w:type="dxa"/>
              <w:right w:w="140" w:type="dxa"/>
            </w:tcMar>
          </w:tcPr>
          <w:p>
            <w:pPr>
              <w:spacing w:after="0"/>
              <w:jc w:val="center"/>
            </w:pPr>
            <w:r>
              <w:rPr>
                <w:rFonts w:ascii="Arial" w:hAnsi="Arial"/>
                <w:b/>
                <w:color w:val="FFFFFF"/>
                <w:sz w:val="19"/>
              </w:rPr>
              <w:t>Handwriting Comparison</w:t>
            </w:r>
          </w:p>
        </w:tc>
        <w:tc>
          <w:tcPr>
            <w:tcW w:type="dxa" w:w="1872"/>
            <w:shd w:fill="1E3A8A"/>
            <w:tcMar>
              <w:top w:w="140" w:type="dxa"/>
              <w:bottom w:w="140" w:type="dxa"/>
              <w:left w:w="140" w:type="dxa"/>
              <w:right w:w="140" w:type="dxa"/>
            </w:tcMar>
          </w:tcPr>
          <w:p>
            <w:pPr>
              <w:spacing w:after="0"/>
              <w:jc w:val="center"/>
            </w:pPr>
            <w:r>
              <w:rPr>
                <w:rFonts w:ascii="Arial" w:hAnsi="Arial"/>
                <w:b/>
                <w:color w:val="FFFFFF"/>
                <w:sz w:val="19"/>
              </w:rPr>
              <w:t>Sample Pairs</w:t>
            </w:r>
          </w:p>
        </w:tc>
        <w:tc>
          <w:tcPr>
            <w:tcW w:type="dxa" w:w="1872"/>
            <w:shd w:fill="1E3A8A"/>
            <w:tcMar>
              <w:top w:w="140" w:type="dxa"/>
              <w:bottom w:w="140" w:type="dxa"/>
              <w:left w:w="140" w:type="dxa"/>
              <w:right w:w="140" w:type="dxa"/>
            </w:tcMar>
          </w:tcPr>
          <w:p>
            <w:pPr>
              <w:spacing w:after="0"/>
              <w:jc w:val="center"/>
            </w:pPr>
            <w:r>
              <w:rPr>
                <w:rFonts w:ascii="Arial" w:hAnsi="Arial"/>
                <w:b/>
                <w:color w:val="FFFFFF"/>
                <w:sz w:val="19"/>
              </w:rPr>
              <w:t>Mean Similarity (%)</w:t>
            </w:r>
          </w:p>
        </w:tc>
        <w:tc>
          <w:tcPr>
            <w:tcW w:type="dxa" w:w="1872"/>
            <w:shd w:fill="1E3A8A"/>
            <w:tcMar>
              <w:top w:w="140" w:type="dxa"/>
              <w:bottom w:w="140" w:type="dxa"/>
              <w:left w:w="140" w:type="dxa"/>
              <w:right w:w="140" w:type="dxa"/>
            </w:tcMar>
          </w:tcPr>
          <w:p>
            <w:pPr>
              <w:spacing w:after="0"/>
              <w:jc w:val="center"/>
            </w:pPr>
            <w:r>
              <w:rPr>
                <w:rFonts w:ascii="Arial" w:hAnsi="Arial"/>
                <w:b/>
                <w:color w:val="FFFFFF"/>
                <w:sz w:val="19"/>
              </w:rPr>
              <w:t>Std Deviation (%)</w:t>
            </w:r>
          </w:p>
        </w:tc>
        <w:tc>
          <w:tcPr>
            <w:tcW w:type="dxa" w:w="1872"/>
            <w:shd w:fill="1E3A8A"/>
            <w:tcMar>
              <w:top w:w="140" w:type="dxa"/>
              <w:bottom w:w="140" w:type="dxa"/>
              <w:left w:w="140" w:type="dxa"/>
              <w:right w:w="140" w:type="dxa"/>
            </w:tcMar>
          </w:tcPr>
          <w:p>
            <w:pPr>
              <w:spacing w:after="0"/>
              <w:jc w:val="center"/>
            </w:pPr>
            <w:r>
              <w:rPr>
                <w:rFonts w:ascii="Arial" w:hAnsi="Arial"/>
                <w:b/>
                <w:color w:val="FFFFFF"/>
                <w:sz w:val="19"/>
              </w:rPr>
              <w:t>Verification Accuracy</w:t>
            </w:r>
          </w:p>
        </w:tc>
      </w:tr>
      <w:tr>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Intra-Author (Same Student)</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500 pairs</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92.4%</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3.8%</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96.2%</w:t>
            </w:r>
          </w:p>
        </w:tc>
      </w:tr>
      <w:tr>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Inter-Author (Different Students)</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2,000 pairs</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34.1%</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8.2%</w:t>
            </w:r>
          </w:p>
        </w:tc>
        <w:tc>
          <w:tcPr>
            <w:tcW w:type="dxa" w:w="1872"/>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94.8%</w:t>
            </w:r>
          </w:p>
        </w:tc>
      </w:tr>
      <w:tr>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Equal Error Rate (EER)</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Threshold tau = 68%</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w:t>
            </w:r>
          </w:p>
        </w:tc>
        <w:tc>
          <w:tcPr>
            <w:tcW w:type="dxa" w:w="1872"/>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EER = 4.2%</w:t>
            </w:r>
          </w:p>
        </w:tc>
      </w:tr>
    </w:tbl>
    <w:p>
      <w:pPr>
        <w:spacing w:before="80" w:after="120"/>
      </w:pPr>
    </w:p>
    <w:p>
      <w:pPr>
        <w:keepNext/>
        <w:spacing w:before="160" w:after="60"/>
        <w:jc w:val="center"/>
      </w:pPr>
      <w:r>
        <w:rPr>
          <w:rFonts w:ascii="Arial" w:hAnsi="Arial"/>
          <w:b/>
          <w:color w:val="1E293B"/>
          <w:sz w:val="19"/>
        </w:rPr>
        <w:t>Table 6: Execution latency breakdown per pipeline component on commodity quad-core hardware.</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40" w:type="dxa"/>
              <w:bottom w:w="140" w:type="dxa"/>
              <w:left w:w="140" w:type="dxa"/>
              <w:right w:w="140" w:type="dxa"/>
            </w:tcMar>
          </w:tcPr>
          <w:p>
            <w:pPr>
              <w:spacing w:after="0"/>
              <w:jc w:val="center"/>
            </w:pPr>
            <w:r>
              <w:rPr>
                <w:rFonts w:ascii="Arial" w:hAnsi="Arial"/>
                <w:b/>
                <w:color w:val="FFFFFF"/>
                <w:sz w:val="19"/>
              </w:rPr>
              <w:t>Pipeline Processing Stage</w:t>
            </w:r>
          </w:p>
        </w:tc>
        <w:tc>
          <w:tcPr>
            <w:tcW w:type="dxa" w:w="3120"/>
            <w:shd w:fill="1E3A8A"/>
            <w:tcMar>
              <w:top w:w="140" w:type="dxa"/>
              <w:bottom w:w="140" w:type="dxa"/>
              <w:left w:w="140" w:type="dxa"/>
              <w:right w:w="140" w:type="dxa"/>
            </w:tcMar>
          </w:tcPr>
          <w:p>
            <w:pPr>
              <w:spacing w:after="0"/>
              <w:jc w:val="center"/>
            </w:pPr>
            <w:r>
              <w:rPr>
                <w:rFonts w:ascii="Arial" w:hAnsi="Arial"/>
                <w:b/>
                <w:color w:val="FFFFFF"/>
                <w:sz w:val="19"/>
              </w:rPr>
              <w:t>Mean Latency (ms)</w:t>
            </w:r>
          </w:p>
        </w:tc>
        <w:tc>
          <w:tcPr>
            <w:tcW w:type="dxa" w:w="3120"/>
            <w:shd w:fill="1E3A8A"/>
            <w:tcMar>
              <w:top w:w="140" w:type="dxa"/>
              <w:bottom w:w="140" w:type="dxa"/>
              <w:left w:w="140" w:type="dxa"/>
              <w:right w:w="140" w:type="dxa"/>
            </w:tcMar>
          </w:tcPr>
          <w:p>
            <w:pPr>
              <w:spacing w:after="0"/>
              <w:jc w:val="center"/>
            </w:pPr>
            <w:r>
              <w:rPr>
                <w:rFonts w:ascii="Arial" w:hAnsi="Arial"/>
                <w:b/>
                <w:color w:val="FFFFFF"/>
                <w:sz w:val="19"/>
              </w:rPr>
              <w:t>Proportion (%)</w:t>
            </w:r>
          </w:p>
        </w:tc>
      </w:tr>
      <w:tr>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Document Ingestion &amp; Lanczos Resampling</w:t>
            </w:r>
          </w:p>
        </w:tc>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142 ms</w:t>
            </w:r>
          </w:p>
        </w:tc>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10.4%</w:t>
            </w:r>
          </w:p>
        </w:tc>
      </w:tr>
      <w:tr>
        <w:tc>
          <w:tcPr>
            <w:tcW w:type="dxa" w:w="312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Dual-Engine OCR Subsystem (WinRT/Tess)</w:t>
            </w:r>
          </w:p>
        </w:tc>
        <w:tc>
          <w:tcPr>
            <w:tcW w:type="dxa" w:w="312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880 ms</w:t>
            </w:r>
          </w:p>
        </w:tc>
        <w:tc>
          <w:tcPr>
            <w:tcW w:type="dxa" w:w="312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64.7%</w:t>
            </w:r>
          </w:p>
        </w:tc>
      </w:tr>
      <w:tr>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Explainable Statistical AI Detector</w:t>
            </w:r>
          </w:p>
        </w:tc>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4 ms</w:t>
            </w:r>
          </w:p>
        </w:tc>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0.3%</w:t>
            </w:r>
          </w:p>
        </w:tc>
      </w:tr>
      <w:tr>
        <w:tc>
          <w:tcPr>
            <w:tcW w:type="dxa" w:w="312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Cohort Plagiarism Shingle Indexing</w:t>
            </w:r>
          </w:p>
        </w:tc>
        <w:tc>
          <w:tcPr>
            <w:tcW w:type="dxa" w:w="312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185 ms</w:t>
            </w:r>
          </w:p>
        </w:tc>
        <w:tc>
          <w:tcPr>
            <w:tcW w:type="dxa" w:w="312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13.6%</w:t>
            </w:r>
          </w:p>
        </w:tc>
      </w:tr>
      <w:tr>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16D Handwriting Stylometry Engine</w:t>
            </w:r>
          </w:p>
        </w:tc>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120 ms</w:t>
            </w:r>
          </w:p>
        </w:tc>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8.8%</w:t>
            </w:r>
          </w:p>
        </w:tc>
      </w:tr>
      <w:tr>
        <w:tc>
          <w:tcPr>
            <w:tcW w:type="dxa" w:w="312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Grading Rules &amp; Database Commit</w:t>
            </w:r>
          </w:p>
        </w:tc>
        <w:tc>
          <w:tcPr>
            <w:tcW w:type="dxa" w:w="312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30 ms</w:t>
            </w:r>
          </w:p>
        </w:tc>
        <w:tc>
          <w:tcPr>
            <w:tcW w:type="dxa" w:w="3120"/>
            <w:shd w:fill="F8FAFC"/>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2.2%</w:t>
            </w:r>
          </w:p>
        </w:tc>
      </w:tr>
      <w:tr>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left"/>
            </w:pPr>
            <w:r>
              <w:rPr>
                <w:rFonts w:ascii="Times New Roman" w:hAnsi="Times New Roman"/>
                <w:color w:val="1E293B"/>
                <w:sz w:val="19"/>
              </w:rPr>
              <w:t>Total End-to-End Processing Latency</w:t>
            </w:r>
          </w:p>
        </w:tc>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1,361 ms (1.36 s)</w:t>
            </w:r>
          </w:p>
        </w:tc>
        <w:tc>
          <w:tcPr>
            <w:tcW w:type="dxa" w:w="3120"/>
            <w:shd w:fill="FFFFFF"/>
            <w:tcMar>
              <w:top w:w="100" w:type="dxa"/>
              <w:bottom w:w="100" w:type="dxa"/>
              <w:left w:w="120" w:type="dxa"/>
              <w:right w:w="120" w:type="dxa"/>
            </w:tcMar>
            <w:tcBorders>
              <w:top w:val="single" w:sz="4" w:space="0" w:color="CCCCCC"/>
              <w:left w:val="none" w:sz="4" w:space="0" w:color="CCCCCC"/>
              <w:bottom w:val="single" w:sz="4" w:space="0" w:color="CCCCCC"/>
              <w:right w:val="none" w:sz="4" w:space="0" w:color="CCCCCC"/>
            </w:tcBorders>
          </w:tcPr>
          <w:p>
            <w:pPr>
              <w:spacing w:after="0"/>
              <w:jc w:val="center"/>
            </w:pPr>
            <w:r>
              <w:rPr>
                <w:rFonts w:ascii="Times New Roman" w:hAnsi="Times New Roman"/>
                <w:color w:val="1E293B"/>
                <w:sz w:val="19"/>
              </w:rPr>
              <w:t>100.0%</w:t>
            </w:r>
          </w:p>
        </w:tc>
      </w:tr>
    </w:tbl>
    <w:p>
      <w:pPr>
        <w:spacing w:before="80" w:after="120"/>
      </w:pPr>
    </w:p>
    <w:p>
      <w:pPr>
        <w:pStyle w:val="Heading1"/>
        <w:keepNext/>
        <w:spacing w:before="280" w:after="80"/>
      </w:pPr>
      <w:r>
        <w:rPr>
          <w:rFonts w:ascii="Arial" w:hAnsi="Arial"/>
          <w:b/>
          <w:color w:val="111827"/>
          <w:sz w:val="30"/>
        </w:rPr>
        <w:t>6. Discussion and Pedagogical Fairness</w:t>
      </w:r>
    </w:p>
    <w:p>
      <w:pPr>
        <w:spacing w:after="100" w:line="276" w:lineRule="auto"/>
      </w:pPr>
      <w:r>
        <w:rPr>
          <w:rFonts w:ascii="Times New Roman" w:hAnsi="Times New Roman"/>
          <w:i w:val="0"/>
          <w:color w:val="1F2937"/>
          <w:sz w:val="21"/>
        </w:rPr>
        <w:t>Unlike commercial detection systems that return uninterpretable probability ratings, VeriText emphasizes explainability. Every AI detection score is backed by explicit sentence burstiness plots and highlighted formulaic transition phrases. Furthermore, by analyzing the coefficient of variation in sentence lengths, VeriText significantly reduces false-positive penalties historically suffered by non-native English writers whose grammar is formal but authentic. In physical assignments, the 16-dimensional handwriting descriptor acts as an evidentiary safeguard, alerting instructors when multiple submissions exhibit near-identical pen stroke geometry.</w:t>
      </w:r>
    </w:p>
    <w:p>
      <w:pPr>
        <w:pStyle w:val="Heading1"/>
        <w:keepNext/>
        <w:spacing w:before="280" w:after="80"/>
      </w:pPr>
      <w:r>
        <w:rPr>
          <w:rFonts w:ascii="Arial" w:hAnsi="Arial"/>
          <w:b/>
          <w:color w:val="111827"/>
          <w:sz w:val="30"/>
        </w:rPr>
        <w:t>7. Conclusion</w:t>
      </w:r>
    </w:p>
    <w:p>
      <w:pPr>
        <w:spacing w:after="100" w:line="276" w:lineRule="auto"/>
      </w:pPr>
      <w:r>
        <w:rPr>
          <w:rFonts w:ascii="Times New Roman" w:hAnsi="Times New Roman"/>
          <w:i w:val="0"/>
          <w:color w:val="1F2937"/>
          <w:sz w:val="21"/>
        </w:rPr>
        <w:t>In this paper, we presented VeriText, an end-to-end multimodal architecture bridging synthetic AI detection, exact plagiarism localization, and computer vision handwriting forensics. Through statistical entropy modeling, offset-mapped shingling, and geometric stroke profiling, VeriText delivers state-of-the-art accuracy across all evaluation dimensions while maintaining real-time latency under 1.4 seconds. Future work will investigate Graph Neural Network representations of stroke topologies and multilingual stylometric baselines.</w:t>
      </w:r>
    </w:p>
    <w:p>
      <w:pPr>
        <w:pStyle w:val="Heading1"/>
        <w:keepNext/>
        <w:spacing w:before="280" w:after="80"/>
      </w:pPr>
      <w:r>
        <w:rPr>
          <w:rFonts w:ascii="Arial" w:hAnsi="Arial"/>
          <w:b/>
          <w:color w:val="111827"/>
          <w:sz w:val="30"/>
        </w:rPr>
        <w:t>References</w:t>
      </w:r>
    </w:p>
    <w:p>
      <w:pPr>
        <w:spacing w:before="40" w:after="40" w:line="264" w:lineRule="auto"/>
      </w:pPr>
      <w:r>
        <w:rPr>
          <w:rFonts w:ascii="Times New Roman" w:hAnsi="Times New Roman"/>
          <w:color w:val="334155"/>
          <w:sz w:val="18"/>
        </w:rPr>
        <w:t>[1] A. Z. Broder, 'On the resemblance and containment of documents,' in Compression and Complexity of Sequences (SEQUENCES'97), IEEE, pp. 21-29, 1997.</w:t>
      </w:r>
    </w:p>
    <w:p>
      <w:pPr>
        <w:spacing w:before="40" w:after="40" w:line="264" w:lineRule="auto"/>
      </w:pPr>
      <w:r>
        <w:rPr>
          <w:rFonts w:ascii="Times New Roman" w:hAnsi="Times New Roman"/>
          <w:color w:val="334155"/>
          <w:sz w:val="18"/>
        </w:rPr>
        <w:t>[2] M. Bulacu and L. Schomaker, 'Text-independent writer identification and verification using textural and allographic features,' IEEE Transactions on Pattern Analysis and Machine Intelligence, vol. 29, no. 4, pp. 701-717, 2007.</w:t>
      </w:r>
    </w:p>
    <w:p>
      <w:pPr>
        <w:spacing w:before="40" w:after="40" w:line="264" w:lineRule="auto"/>
      </w:pPr>
      <w:r>
        <w:rPr>
          <w:rFonts w:ascii="Times New Roman" w:hAnsi="Times New Roman"/>
          <w:color w:val="334155"/>
          <w:sz w:val="18"/>
        </w:rPr>
        <w:t>[3] S. Gehrmann, H. Strobelt, and A. M. Rush, 'GLTR: Statistical detection and visualization of generated text,' in Proc. 57th Annual Meeting of the Association for Computational Linguistics (ACL), pp. 111-116, 2019.</w:t>
      </w:r>
    </w:p>
    <w:p>
      <w:pPr>
        <w:spacing w:before="40" w:after="40" w:line="264" w:lineRule="auto"/>
      </w:pPr>
      <w:r>
        <w:rPr>
          <w:rFonts w:ascii="Times New Roman" w:hAnsi="Times New Roman"/>
          <w:color w:val="334155"/>
          <w:sz w:val="18"/>
        </w:rPr>
        <w:t>[4] M. Li, L. Teng, and C. Chen, 'TrOCR: Transformer-based optical character recognition with pre-trained models,' arXiv:2109.10282, 2021.</w:t>
      </w:r>
    </w:p>
    <w:p>
      <w:pPr>
        <w:spacing w:before="40" w:after="40" w:line="264" w:lineRule="auto"/>
      </w:pPr>
      <w:r>
        <w:rPr>
          <w:rFonts w:ascii="Times New Roman" w:hAnsi="Times New Roman"/>
          <w:color w:val="334155"/>
          <w:sz w:val="18"/>
        </w:rPr>
        <w:t>[5] E. Mitchell, Y. Yoon, H. Miao, C. Qiu, C. D. Manning, and C. Finn, 'DetectGPT: Zero-shot machine-generated text detection using probability curvature,' in International Conference on Machine Learning (ICML), PMLR, pp. 24950-24962, 2023.</w:t>
      </w:r>
    </w:p>
    <w:p>
      <w:pPr>
        <w:spacing w:before="40" w:after="40" w:line="264" w:lineRule="auto"/>
      </w:pPr>
      <w:r>
        <w:rPr>
          <w:rFonts w:ascii="Times New Roman" w:hAnsi="Times New Roman"/>
          <w:color w:val="334155"/>
          <w:sz w:val="18"/>
        </w:rPr>
        <w:t>[6] S. Schleimer, D. S. Wilkerson, and A. Aiken, 'Winnowing: Local algorithms for document fingerprinting,' in Proc. ACM SIGMOD International Conference on Management of Data, pp. 76-85, 2003.</w:t>
      </w:r>
    </w:p>
    <w:p>
      <w:pPr>
        <w:spacing w:before="40" w:after="40" w:line="264" w:lineRule="auto"/>
      </w:pPr>
      <w:r>
        <w:rPr>
          <w:rFonts w:ascii="Times New Roman" w:hAnsi="Times New Roman"/>
          <w:color w:val="334155"/>
          <w:sz w:val="18"/>
        </w:rPr>
        <w:t>[7] C. E. Shannon, 'A mathematical theory of communication,' The Bell System Technical Journal, vol. 27, no. 3, pp. 379-423, 1948.</w:t>
      </w:r>
    </w:p>
    <w:p>
      <w:pPr>
        <w:spacing w:before="40" w:after="40" w:line="264" w:lineRule="auto"/>
      </w:pPr>
      <w:r>
        <w:rPr>
          <w:rFonts w:ascii="Times New Roman" w:hAnsi="Times New Roman"/>
          <w:color w:val="334155"/>
          <w:sz w:val="18"/>
        </w:rPr>
        <w:t>[8] R. Smith, 'An overview of the Tesseract OCR engine,' in Ninth International Conference on Document Analysis and Recognition (ICDAR 2007), IEEE, vol. 2, pp. 629-633, 2007.</w:t>
      </w:r>
    </w:p>
    <w:p>
      <w:pPr>
        <w:spacing w:before="40" w:after="40" w:line="264" w:lineRule="auto"/>
      </w:pPr>
      <w:r>
        <w:rPr>
          <w:rFonts w:ascii="Times New Roman" w:hAnsi="Times New Roman"/>
          <w:color w:val="334155"/>
          <w:sz w:val="18"/>
        </w:rPr>
        <w:t>[9] I. Solaiman et al., 'Release strategies and the social impacts of language models,' arXiv:1908.09203, 2019.</w:t>
      </w:r>
    </w:p>
    <w:p>
      <w:pPr>
        <w:spacing w:before="40" w:after="40" w:line="264" w:lineRule="auto"/>
      </w:pPr>
      <w:r>
        <w:rPr>
          <w:rFonts w:ascii="Times New Roman" w:hAnsi="Times New Roman"/>
          <w:color w:val="334155"/>
          <w:sz w:val="18"/>
        </w:rPr>
        <w:t>[10] S. N. Srihari, S. H. Cha, H. Arora, and S. Lee, 'Individuality of handwriting,' Journal of Forensic Sciences, vol. 47, no. 4, pp. 856-872, 2002.</w:t>
      </w:r>
    </w:p>
    <w:p>
      <w:pPr>
        <w:spacing w:before="40" w:after="40" w:line="264" w:lineRule="auto"/>
      </w:pPr>
      <w:r>
        <w:rPr>
          <w:rFonts w:ascii="Times New Roman" w:hAnsi="Times New Roman"/>
          <w:color w:val="334155"/>
          <w:sz w:val="18"/>
        </w:rPr>
        <w:t>[11] A. Vaswani et al., 'Attention is all you need,' in Advances in Neural Information Processing Systems (NeurIPS), vol. 30, 2017.</w:t>
      </w:r>
    </w:p>
    <w:p>
      <w:pPr>
        <w:spacing w:before="40" w:after="40" w:line="264" w:lineRule="auto"/>
      </w:pPr>
      <w:r>
        <w:rPr>
          <w:rFonts w:ascii="Times New Roman" w:hAnsi="Times New Roman"/>
          <w:color w:val="334155"/>
          <w:sz w:val="18"/>
        </w:rPr>
        <w:t>[12] V. S. Sadasivan, A. Kumar, S. Balasubramanian, W. Wang, and S. Feizi, 'Can AI-generated text be reliably detected?' arXiv:2303.11156, 2023.</w:t>
      </w:r>
    </w:p>
    <w:p>
      <w:pPr>
        <w:spacing w:before="40" w:after="40" w:line="264" w:lineRule="auto"/>
      </w:pPr>
      <w:r>
        <w:rPr>
          <w:rFonts w:ascii="Times New Roman" w:hAnsi="Times New Roman"/>
          <w:color w:val="334155"/>
          <w:sz w:val="18"/>
        </w:rPr>
        <w:t>[13] R. Zellers, A. Holtzman, H. Rashkin, Y. Bisk, A. Farhadi, F. Roesner, and Y. Choi, 'Defending against neural fake news,' in Advances in Neural Information Processing Systems (NeurIPS), vol. 32, 2019.</w:t>
      </w:r>
    </w:p>
    <w:p>
      <w:pPr>
        <w:spacing w:before="40" w:after="40" w:line="264" w:lineRule="auto"/>
      </w:pPr>
      <w:r>
        <w:rPr>
          <w:rFonts w:ascii="Times New Roman" w:hAnsi="Times New Roman"/>
          <w:color w:val="334155"/>
          <w:sz w:val="18"/>
        </w:rPr>
        <w:t>[14] M. Potthast, B. Stein, A. Eiselt, A. Barrón-Cedeño, and P. Rosso, 'Overview of the 1st international competition on plagiarism detection,' PAN Workshop at SEPLN, pp. 1-9, 2009.</w:t>
      </w:r>
    </w:p>
    <w:p>
      <w:pPr>
        <w:spacing w:before="40" w:after="40" w:line="264" w:lineRule="auto"/>
      </w:pPr>
      <w:r>
        <w:rPr>
          <w:rFonts w:ascii="Times New Roman" w:hAnsi="Times New Roman"/>
          <w:color w:val="334155"/>
          <w:sz w:val="18"/>
        </w:rPr>
        <w:t>[15] K. He, X. Zhang, S. Ren, and J. Sun, 'Deep residual learning for image recognition,' in IEEE Conference on Computer Vision and Pattern Recognition (CVPR), pp. 770-778, 2016.</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8"/>
      </w:rPr>
      <w:t xml:space="preserve">VeriText: Multimodal Academic Integrity Platform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color w:val="94A3B8"/>
        <w:sz w:val="17"/>
      </w:rPr>
      <w:t>IEEE / Computer Engineering Research Paper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